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BZVMLUL (Brandenburg) — Vertretung bei Klagen aus dem Beamtenverhältnis</w:t>
      </w:r>
    </w:p>
    <w:p>
      <w:r>
        <w:rPr>
          <w:color w:val="555555"/>
          <w:sz w:val="18"/>
        </w:rPr>
        <w:t xml:space="preserve">Beamtenzuständigkeitsverordnung MLUL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allgemeinen Verwaltungsgerichtsbarkeit wird den in § 1 genannten Dienststellen übertragen, soweit sie über den Widerspruch entschieden hat. Satz 1 ist in Verfahren des einstweiligen Rechtsschutzes (§§ 80 bis 80b und 123 der Verwaltungsgerichtsordnung) entsprechend anzuwenden.</w:t>
      </w:r>
    </w:p>
    <w:p>
      <w:r>
        <w:rPr>
          <w:color w:val="555555"/>
          <w:sz w:val="17"/>
        </w:rPr>
        <w:t xml:space="preserve">Zitiervorschlag: § 4 BZVMLUL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https://recht.nulegal.eu/gesetze/BZVMLUL/4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