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BZVMLUL (Brandenburg) — Übertragung weiterer Befugnisse</w:t>
      </w:r>
    </w:p>
    <w:p>
      <w:r>
        <w:rPr>
          <w:color w:val="555555"/>
          <w:sz w:val="18"/>
        </w:rPr>
        <w:t xml:space="preserve">Beamtenzuständigkeitsverordnung MLUL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in § 1 genannten Dienststellen werden für ihren Geschäftsbereich folgende weitere beamtenrechtliche Zuständigkeiten übertragen:</w:t>
      </w:r>
    </w:p>
    <w:p>
      <w:r>
        <w:t xml:space="preserve">Entscheidungen über das Verbot der Führung der Dienstgeschäfte gemäß § 54 Absatz 1 des Landesbeamtengesetzes,</w:t>
      </w:r>
    </w:p>
    <w:p>
      <w:r>
        <w:t xml:space="preserve">Entscheidungen über das Vorliegen der Voraussetzungen der Entlassung kraft Gesetzes gemäß § 32 Absatz 1 des Landesbeamtengesetzes,</w:t>
      </w:r>
    </w:p>
    <w:p>
      <w:r>
        <w:t xml:space="preserve">Entscheidungen über die Versetzung eines Beamten auf Probe in den Ruhestand gemäß § 38 des Landesbeamtengesetzes,</w:t>
      </w:r>
    </w:p>
    <w:p>
      <w:r>
        <w:t xml:space="preserve">Entscheidungen über die Versagung der Aussagegenehmigung gemäß § 56 des Landesbeamtengesetzes, wobei die Versagung der Aussagegenehmigung der Zustimmung der obersten Dienstbehörde bedarf,</w:t>
      </w:r>
    </w:p>
    <w:p>
      <w:r>
        <w:t xml:space="preserve">Nebentätigkeitsangelegenheiten und Untersagungen von Tätigkeiten nach Beendigung des Beamtenverhältnisses gemäß den §§ 84 bis 89 und 92 des Landesbeamtengesetzes, soweit nicht die Entscheidung gemäß § 87 Satz 1 des Landesbeamtengesetzes dem für Ländliche Entwicklung, Umwelt und Landwirtschaft zuständigen Ministerium vorbehalten ist,</w:t>
      </w:r>
    </w:p>
    <w:p>
      <w:r>
        <w:t xml:space="preserve">die Erteilung der Zustimmung zur Annahme von Belohnungen und Geschenken gemäß § 57 des Landesbeamtengesetzes mit der Maßgabe, dass die Entscheidung dem jeweiligen Leiter der betreffenden Dienststelle oder dessen Stellvertreter persönlich obliegt,</w:t>
      </w:r>
    </w:p>
    <w:p>
      <w:r>
        <w:t xml:space="preserve">die Genehmigung der Führung der Amtsbezeichnung mit dem Zusatz „außer Dienst“ („a.D.“) gemäß § 69 des Landesbeamtengesetzes,</w:t>
      </w:r>
    </w:p>
    <w:p>
      <w:r>
        <w:t xml:space="preserve">die Ausübung der Disziplinarbefugnis bei Ruhestandsbeamten nach § 17 Absatz 2 des Landesdisziplinargesetzes,</w:t>
      </w:r>
    </w:p>
    <w:p>
      <w:r>
        <w:t xml:space="preserve">die Befugnis zur Gewährung und Versagung der Jubiläumszuwendung gemäß § 8 der Verordnung über die Gewährung von Jubiläumszuwendungen an Beamte und Richter des Bundes,</w:t>
      </w:r>
    </w:p>
    <w:p>
      <w:r>
        <w:t xml:space="preserve">Entscheidungen über die Feststellung der Befähigung für eine Laufbahn besonderer Fachrichtung des mittleren und des gehobenen Dienstes nach § 39 der Laufbahnverordnung,</w:t>
      </w:r>
    </w:p>
    <w:p>
      <w:r>
        <w:t xml:space="preserve">Entscheidungen gemäß § 71 des Landesbeamtengesetzes in Verbindung mit § 1 Absatz 1 der Mutterschutz- und Elternzeitverordnung,</w:t>
      </w:r>
    </w:p>
    <w:p>
      <w:r>
        <w:t xml:space="preserve">die Zustimmung zum Absehen von der Rückforderung von Bezügen nach § 12 Absatz 2 Satz 3 des Bundesbesoldungsgesetzes,</w:t>
      </w:r>
    </w:p>
    <w:p>
      <w:r>
        <w:t xml:space="preserve">die Kürzung der Dienstbezüge bis zum Höchstmaß nach § 34 Absatz 3 Nummer 1 des Landesdisziplinargesetzes.</w:t>
      </w:r>
    </w:p>
    <w:p>
      <w:r>
        <w:t xml:space="preserve">(2) Dem Leiter der in § 1 genannten Dienststellen wird die Befugnis zur Erhebung der Disziplinarklage nach § 35 des Landesdisziplinargesetzes übertragen.</w:t>
      </w:r>
    </w:p>
    <w:p>
      <w:r>
        <w:rPr>
          <w:color w:val="555555"/>
          <w:sz w:val="17"/>
        </w:rPr>
        <w:t xml:space="preserve">Zitiervorschlag: § 2 BZVMLUL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https://recht.nulegal.eu/gesetze/BZVMLUL/2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