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BZVMIL (Brandenburg) — Inkrafttreten, Außerkrafttreten</w:t>
      </w:r>
    </w:p>
    <w:p>
      <w:r>
        <w:rPr>
          <w:color w:val="555555"/>
          <w:sz w:val="18"/>
        </w:rPr>
        <w:t xml:space="preserve">Beamtenzuständigkeitsverordnung MIL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</w:t>
      </w:r>
    </w:p>
    <w:p>
      <w:r>
        <w:t xml:space="preserve">Tag nach der Verkündung in Kraft. Gleichzeitig tritt die</w:t>
      </w:r>
    </w:p>
    <w:p>
      <w:r>
        <w:t xml:space="preserve">Beamtenzuständigkeitsverordnung MLUR vom 27. August 2001 (GVBl. II S. 550), die</w:t>
      </w:r>
    </w:p>
    <w:p>
      <w:r>
        <w:t xml:space="preserve">zuletzt durch die Verordnung vom 5. Mai 2005 (GVBl. II S. 238) geändert worden</w:t>
      </w:r>
    </w:p>
    <w:p>
      <w:r>
        <w:t xml:space="preserve">ist, außer Kraft, soweit sie den Geschäftsbereich des Ministeriums für</w:t>
      </w:r>
    </w:p>
    <w:p>
      <w:r>
        <w:t xml:space="preserve">Infrastruktur und Landwirtschaft betrifft.</w:t>
      </w:r>
    </w:p>
    <w:p>
      <w:r>
        <w:t xml:space="preserve">Potsdam, den 25. Januar 2012</w:t>
      </w:r>
    </w:p>
    <w:p>
      <w:r>
        <w:t xml:space="preserve">Der Minister für Infrastruktur und Landwirtschaft</w:t>
      </w:r>
    </w:p>
    <w:p>
      <w:r>
        <w:t xml:space="preserve">Jörg Vogelsänger</w:t>
      </w:r>
    </w:p>
    <w:p>
      <w:r>
        <w:rPr>
          <w:color w:val="555555"/>
          <w:sz w:val="17"/>
        </w:rPr>
        <w:t xml:space="preserve">Zitiervorschlag: § 3 BZVMIL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https://recht.nulegal.eu/gesetze/BZVMIL/3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