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BZVMBJS (Brandenburg) — Übergangsvorschriften</w:t>
      </w:r>
    </w:p>
    <w:p>
      <w:r>
        <w:rPr>
          <w:color w:val="555555"/>
          <w:sz w:val="18"/>
        </w:rPr>
        <w:t xml:space="preserve">Beamtenzuständigkeitsverordnung MBJS</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Anträge, die vor dem Inkrafttreten der Änderung dieser Verordnung eingegangen sind und über die noch nicht abschließend entschieden worden ist, soweit die Bearbeitung nicht bereits der Zentralen Bezügestelle des Landes Brandenburg übertragen war, verbleibt es bei den bisherigen Zuständigkeiten. Dies gilt auch für die Vertretung in zu diesem Zeitpunkt bereits anhängigen Rechtsstreitigkeiten.</w:t>
      </w:r>
    </w:p>
    <w:p>
      <w:r>
        <w:rPr>
          <w:color w:val="555555"/>
          <w:sz w:val="17"/>
        </w:rPr>
        <w:t xml:space="preserve">Zitiervorschlag: § 7 BZVMBJS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https://recht.nulegal.eu/gesetze/BZVMBJS/7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