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BZVMBJS (Brandenburg) — Vertretung bei Klagen aus dem Beamtenverhältnis</w:t>
      </w:r>
    </w:p>
    <w:p>
      <w:r>
        <w:rPr>
          <w:color w:val="555555"/>
          <w:sz w:val="18"/>
        </w:rPr>
        <w:t xml:space="preserve">Beamtenzuständigkeitsverordnung MBJS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Vertretung des Landes vor den Gerichten der Verwaltungsgerichtsbarkeit gemäß § 103 des Landesbeamtengesetzes wird den in den §§ 1 bis 4 genannten Stellen übertragen. Satz 1 ist in Verfahren auf einstweiligen Rechtsschutz (§§ 80 bis 80b und 123 der Verwaltungsgerichtsordnung) entsprechend anzuwenden.</w:t>
      </w:r>
    </w:p>
    <w:p>
      <w:r>
        <w:rPr>
          <w:color w:val="555555"/>
          <w:sz w:val="17"/>
        </w:rPr>
        <w:t xml:space="preserve">Zitiervorschlag: § 6 BZVMBJS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https://recht.nulegal.eu/gesetze/BZVMBJS/6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