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BZVMBJS (Brandenburg) — Übertragung weiterer Befugnisse auf das Landesinstitut Brandenburg für Schule und Lehrkräftebildung</w:t>
      </w:r>
    </w:p>
    <w:p>
      <w:r>
        <w:rPr>
          <w:color w:val="555555"/>
          <w:sz w:val="18"/>
        </w:rPr>
        <w:t xml:space="preserve">Beamtenzuständigkeitsverordnung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Landesinstitut Brandenburg für Schule und Lehrkräftebildung werden die folgenden beamtenrechtlichen Zuständigkeiten übertragen:</w:t>
      </w:r>
    </w:p>
    <w:p>
      <w:r>
        <w:t xml:space="preserve">Entscheidung über das Vorliegen der Voraussetzungen bei Entlassung aus dem Beamtenverhältnis gemäß § 32 des Landesbeamtengesetzes in Verbindung mit § 22 des Beamtenstatusgesetzes,</w:t>
      </w:r>
    </w:p>
    <w:p>
      <w:r>
        <w:t xml:space="preserve">Entscheidung über die Versetzung in den Ruhestand von Beamtinnen und Beamten auf Probe gemäß § 38 des Landesbeamtengesetzes in Verbindung mit § 28 Absatz 1 und 2 des Beamtenstatusgesetzes, wobei die Entscheidung in Fällen des § 28 Absatz 2 des Beamtenstatusgesetzes der vorherigen Zustimmung des für Bildung zuständigen Ministeriums bedarf,</w:t>
      </w:r>
    </w:p>
    <w:p>
      <w:r>
        <w:t xml:space="preserve">Entscheidung über die Versetzung in den Ruhestand von Beamtinnen und Beamten gemäß § 50 Satz 1 des Landesbeamtengesetzes in Laufbahnen des gehobenen und des höheren Schuldienstes sowie in der Laufbahn des Schulaufsichtsdienstes,</w:t>
      </w:r>
    </w:p>
    <w:p>
      <w:r>
        <w:t xml:space="preserve">Entscheidung über das Verbot der Führung der Dienstgeschäfte gemäß § 54 des Landesbeamtengesetzes,</w:t>
      </w:r>
    </w:p>
    <w:p>
      <w:r>
        <w:t xml:space="preserve">Entscheidung über die Versagung der Aussagegenehmigung gemäß § 56 des Landesbeamtengesetzes, wobei die Versagung der Aussagegenehmigung der vorherigen Zustimmung des für Bildung zuständigen Ministeriums bedarf,</w:t>
      </w:r>
    </w:p>
    <w:p>
      <w:r>
        <w:t xml:space="preserve">Zustimmung zur Annahme von Belohnungen und Geschenken und sonstigen Vorteilen gemäß § 57 des Landesbeamtengesetzes,</w:t>
      </w:r>
    </w:p>
    <w:p>
      <w:r>
        <w:t xml:space="preserve">Genehmigung zur Führung der Amtsbezeichnung mit dem Zusatz „außer Dienst“ („a. D.“) gemäß § 69 Absatz 5 Satz 1 des Landesbeamtengesetzes,</w:t>
      </w:r>
    </w:p>
    <w:p>
      <w:r>
        <w:t xml:space="preserve">Nebentätigkeitsangelegenheiten und Untersagung von Tätigkeiten nach Beendigung des Beamtenverhältnisses gemäß den §§ 84 bis 89 und 92 des Landesbeamtengesetzes, soweit nicht die Entscheidung gemäß § 87 Absatz 1 Satz 3 des Landesbeamtengesetzes dem für Bildung zuständigen Ministerium vorbehalten ist,</w:t>
      </w:r>
    </w:p>
    <w:p>
      <w:r>
        <w:t xml:space="preserve">Befugnis zur Gewährung und Versagung der Dienstjubiläumszuwendungen gemäß § 6 der Dienstjubiläumsverordnung,</w:t>
      </w:r>
    </w:p>
    <w:p>
      <w:r>
        <w:t xml:space="preserve">Anerkennung von Urlaub auf die Probezeit gemäß § 28 Absatz 6 der Schullaufbahnverordnung sowie die Anrechnung der Probezeit und sonstigen Dienstzeiten bei Übernahme von Beamtinnen und Beamten anderer Dienstherren gemäß § 35 Absatz 1 der Schullaufbahnverordnung,</w:t>
      </w:r>
    </w:p>
    <w:p>
      <w:r>
        <w:t xml:space="preserve">Disziplinarbefugnis bei Ruhestandsbeamtinnen und Ruhestandsbeamten gemäß § 17 Absatz 2 des Landesdisziplinargesetzes, Disziplinarbefugnisse gemäß den §§ 34 und 42 des Landesdisziplinargesetzes.</w:t>
      </w:r>
    </w:p>
    <w:p>
      <w:r>
        <w:rPr>
          <w:color w:val="555555"/>
          <w:sz w:val="17"/>
        </w:rPr>
        <w:t xml:space="preserve">Zitiervorschlag: § 3 BZVMBJS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https://recht.nulegal.eu/gesetze/BZVMBJS/3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