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BZVEUV (Brandenburg)</w:t>
      </w:r>
    </w:p>
    <w:p>
      <w:r>
        <w:rPr>
          <w:color w:val="555555"/>
          <w:sz w:val="18"/>
        </w:rPr>
        <w:t xml:space="preserve">Beamtenzuständigkeitsverordnung Stiftung EUV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der Stiftung</w:t>
      </w:r>
    </w:p>
    <w:p>
      <w:r>
        <w:t xml:space="preserve">Europa-Universität Viadrina Frankfurt (Oder) vor den Gerichten der</w:t>
      </w:r>
    </w:p>
    <w:p>
      <w:r>
        <w:t xml:space="preserve">Verwaltungsgerichtsbarkeit wird auf die ZBB übertragen, soweit diese über den</w:t>
      </w:r>
    </w:p>
    <w:p>
      <w:r>
        <w:t xml:space="preserve">Widerspruch zu entscheiden hat. Dies gilt entsprechend für die Verfahren auf</w:t>
      </w:r>
    </w:p>
    <w:p>
      <w:r>
        <w:t xml:space="preserve">einstweiligen Rechtsschutz nach der Verwaltungsgerichtsordnung.</w:t>
      </w:r>
    </w:p>
    <w:p>
      <w:r>
        <w:rPr>
          <w:color w:val="555555"/>
          <w:sz w:val="17"/>
        </w:rPr>
        <w:t xml:space="preserve">Zitiervorschlag: § 7 BZVEUV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https://recht.nulegal.eu/gesetze/BZVEUV/7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