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BZVEUV (Brandenburg)</w:t>
      </w:r>
    </w:p>
    <w:p>
      <w:r>
        <w:rPr>
          <w:color w:val="555555"/>
          <w:sz w:val="18"/>
        </w:rPr>
        <w:t xml:space="preserve">Beamtenzuständigkeitsverordnung Stiftung EUV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Stelle für die Zustimmung</w:t>
      </w:r>
    </w:p>
    <w:p>
      <w:r>
        <w:t xml:space="preserve">zu einer Entscheidung über das Absehen von der Rückforderung nach § 52 Abs. 2</w:t>
      </w:r>
    </w:p>
    <w:p>
      <w:r>
        <w:t xml:space="preserve">Satz 3 des Beamtenversorgungsgesetzes ist die nach § 3 jeweils zuständige</w:t>
      </w:r>
    </w:p>
    <w:p>
      <w:r>
        <w:t xml:space="preserve">Stelle.</w:t>
      </w:r>
    </w:p>
    <w:p>
      <w:r>
        <w:rPr>
          <w:color w:val="555555"/>
          <w:sz w:val="17"/>
        </w:rPr>
        <w:t xml:space="preserve">Zitiervorschlag: § 5 BZVEUV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https://recht.nulegal.eu/gesetze/BZVEUV/5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