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BZVEUV (Brandenburg)</w:t>
      </w:r>
    </w:p>
    <w:p>
      <w:r>
        <w:rPr>
          <w:color w:val="555555"/>
          <w:sz w:val="18"/>
        </w:rPr>
        <w:t xml:space="preserve">Beamtenzuständigkeitsverordnung Stiftung EUV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ZBB übernimmt außerdem namens und</w:t>
      </w:r>
    </w:p>
    <w:p>
      <w:r>
        <w:t xml:space="preserve">im Auftrag der Stiftung Europa-Universität Viadrina Frankfurt (Oder) folgende</w:t>
      </w:r>
    </w:p>
    <w:p>
      <w:r>
        <w:t xml:space="preserve">Aufgaben:</w:t>
      </w:r>
    </w:p>
    <w:p>
      <w:r>
        <w:t xml:space="preserve">Festsetzung des</w:t>
      </w:r>
    </w:p>
    <w:p>
      <w:r>
        <w:t xml:space="preserve">Kapitalbetrages gemäß § 58 des Beamtenversorgungsgesetzes,</w:t>
      </w:r>
    </w:p>
    <w:p>
      <w:r>
        <w:t xml:space="preserve">Erstattung und</w:t>
      </w:r>
    </w:p>
    <w:p>
      <w:r>
        <w:t xml:space="preserve">Anforderung von Anteilen an den Versorgungsbezügen gemäß den §§ 107b und</w:t>
      </w:r>
    </w:p>
    <w:p>
      <w:r>
        <w:t xml:space="preserve">107c des Beamtenversorgungsgesetzes,</w:t>
      </w:r>
    </w:p>
    <w:p>
      <w:r>
        <w:t xml:space="preserve">Wahrnehmung der</w:t>
      </w:r>
    </w:p>
    <w:p>
      <w:r>
        <w:t xml:space="preserve">Befugnisse des Trägers der Versorgungslast gemäß § 53b Abs. 2 Satz 1 des</w:t>
      </w:r>
    </w:p>
    <w:p>
      <w:r>
        <w:t xml:space="preserve">Gesetzes über die Angelegenheiten der freiwilligen Gerichtsbarkeit,</w:t>
      </w:r>
    </w:p>
    <w:p>
      <w:r>
        <w:t xml:space="preserve">Erteilung von</w:t>
      </w:r>
    </w:p>
    <w:p>
      <w:r>
        <w:t xml:space="preserve">Auskünften an die Familiengerichte gemäß § 53b Abs. 2 Satz 2 des Gesetzes</w:t>
      </w:r>
    </w:p>
    <w:p>
      <w:r>
        <w:t xml:space="preserve">über die Angelegenheiten der freiwilligen Gerichtsbarkeit,</w:t>
      </w:r>
    </w:p>
    <w:p>
      <w:r>
        <w:t xml:space="preserve">Durchführung</w:t>
      </w:r>
    </w:p>
    <w:p>
      <w:r>
        <w:t xml:space="preserve">der Nachversicherung in der gesetzlichen Rentenversicherung gemäß § 8 des</w:t>
      </w:r>
    </w:p>
    <w:p>
      <w:r>
        <w:t xml:space="preserve">Sechsten Buches Sozialgesetzbuch,</w:t>
      </w:r>
    </w:p>
    <w:p>
      <w:r>
        <w:t xml:space="preserve">Beantwortung</w:t>
      </w:r>
    </w:p>
    <w:p>
      <w:r>
        <w:t xml:space="preserve">von Anfragen der Rentenversicherungsträger nach § 71 Abs. 4 des Sechsten</w:t>
      </w:r>
    </w:p>
    <w:p>
      <w:r>
        <w:t xml:space="preserve">Buches Sozialgesetzbuch,</w:t>
      </w:r>
    </w:p>
    <w:p>
      <w:r>
        <w:t xml:space="preserve">Erstattung von</w:t>
      </w:r>
    </w:p>
    <w:p>
      <w:r>
        <w:t xml:space="preserve">Aufwendungen des Trägers der Rentenversicherung</w:t>
      </w:r>
    </w:p>
    <w:p>
      <w:r>
        <w:t xml:space="preserve">durch den Träger der Versorgungslast gemäß § 225 Abs. 1 des Sechsten</w:t>
      </w:r>
    </w:p>
    <w:p>
      <w:r>
        <w:t xml:space="preserve">Buches Sozialgesetzbuch sowie gemäß der</w:t>
      </w:r>
    </w:p>
    <w:p>
      <w:r>
        <w:t xml:space="preserve">Versorgungsausgleichs-Erstattungsverordnung,</w:t>
      </w:r>
    </w:p>
    <w:p>
      <w:r>
        <w:t xml:space="preserve">Berechnung,</w:t>
      </w:r>
    </w:p>
    <w:p>
      <w:r>
        <w:t xml:space="preserve">Zahlbarmachung, Auszahlung und Abrechnung der in dieser Verordnung genannten</w:t>
      </w:r>
    </w:p>
    <w:p>
      <w:r>
        <w:t xml:space="preserve">Leistungen, auch wenn die Festsetzung von anderen Stellen vorgenommen wurde.</w:t>
      </w:r>
    </w:p>
    <w:p>
      <w:r>
        <w:rPr>
          <w:color w:val="555555"/>
          <w:sz w:val="17"/>
        </w:rPr>
        <w:t xml:space="preserve">Zitiervorschlag: § 4 BZVEUV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https://recht.nulegal.eu/gesetze/BZVEUV/4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