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BZVEUV (Brandenburg)</w:t>
      </w:r>
    </w:p>
    <w:p>
      <w:r>
        <w:rPr>
          <w:color w:val="555555"/>
          <w:sz w:val="18"/>
        </w:rPr>
        <w:t xml:space="preserve">Beamtenzuständigkeitsverordnung Stiftung EUV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Pensionsfestsetzungs- und</w:t>
      </w:r>
    </w:p>
    <w:p>
      <w:r>
        <w:t xml:space="preserve">-regelungsbehörde für die Versorgungsberechtigten der Stiftung</w:t>
      </w:r>
    </w:p>
    <w:p>
      <w:r>
        <w:t xml:space="preserve">Europa-Universität Viadrina Frankfurt (Oder) gemäß § 49 Abs. 1 Satz 1 und Abs. 6</w:t>
      </w:r>
    </w:p>
    <w:p>
      <w:r>
        <w:t xml:space="preserve">des Beamtenversorgungsgesetzes ist die ZBB.</w:t>
      </w:r>
    </w:p>
    <w:p>
      <w:r>
        <w:t xml:space="preserve">(2) Die ZBB übernimmt namens und im</w:t>
      </w:r>
    </w:p>
    <w:p>
      <w:r>
        <w:t xml:space="preserve">Auftrag der Stiftung Europa-Universität Viadrina Frankfurt (Oder) die folgenden</w:t>
      </w:r>
    </w:p>
    <w:p>
      <w:r>
        <w:t xml:space="preserve">Aufgaben der obersten Dienstbehörde:</w:t>
      </w:r>
    </w:p>
    <w:p>
      <w:r>
        <w:t xml:space="preserve">Anordnung der</w:t>
      </w:r>
    </w:p>
    <w:p>
      <w:r>
        <w:t xml:space="preserve">ärztlichen Untersuchung gemäß § 3 Abs. 3 Satz 3 des Gesetzes über ergänzende</w:t>
      </w:r>
    </w:p>
    <w:p>
      <w:r>
        <w:t xml:space="preserve">Bestimmungen zur Beamtenversorgung im Land Brandenburg, § 35 Abs. 3 Satz 2</w:t>
      </w:r>
    </w:p>
    <w:p>
      <w:r>
        <w:t xml:space="preserve">und § 38 Abs. 6 Satz 2 des Beamtenversorgungsgesetzes,</w:t>
      </w:r>
    </w:p>
    <w:p>
      <w:r>
        <w:t xml:space="preserve">Feststellung</w:t>
      </w:r>
    </w:p>
    <w:p>
      <w:r>
        <w:t xml:space="preserve">gemäß § 29 Abs. 1 des Beamtenversorgungsgesetzes, dass das Ableben eines</w:t>
      </w:r>
    </w:p>
    <w:p>
      <w:r>
        <w:t xml:space="preserve">Verschollenen mit Wahrscheinlichkeit anzunehmen ist,</w:t>
      </w:r>
    </w:p>
    <w:p>
      <w:r>
        <w:t xml:space="preserve">Entzug und</w:t>
      </w:r>
    </w:p>
    <w:p>
      <w:r>
        <w:t xml:space="preserve">Wiederzuerkennung der Versorgungsbezüge bei Verletzung der Anzeigepflicht</w:t>
      </w:r>
    </w:p>
    <w:p>
      <w:r>
        <w:t xml:space="preserve">gemäß § 62 Abs. 3 Satz 3 des Beamtenversorgungsgesetzes,</w:t>
      </w:r>
    </w:p>
    <w:p>
      <w:r>
        <w:t xml:space="preserve">Versagung von</w:t>
      </w:r>
    </w:p>
    <w:p>
      <w:r>
        <w:t xml:space="preserve">Unfallfürsorgeleistungen gemäß § 44 Abs. 2 Satz 1 des</w:t>
      </w:r>
    </w:p>
    <w:p>
      <w:r>
        <w:t xml:space="preserve">Beamtenversorgungsgesetzes.</w:t>
      </w:r>
    </w:p>
    <w:p>
      <w:r>
        <w:t xml:space="preserve">Die Absätze 1 und 2 gelten nur,</w:t>
      </w:r>
    </w:p>
    <w:p>
      <w:r>
        <w:t xml:space="preserve">soweit Absatz 3 nichts anderes bestimmt.</w:t>
      </w:r>
    </w:p>
    <w:p>
      <w:r>
        <w:t xml:space="preserve">(3) Die Stiftung Europa-Universität</w:t>
      </w:r>
    </w:p>
    <w:p>
      <w:r>
        <w:t xml:space="preserve">Viadrina Frankfurt (Oder) ist zuständig für folgende Aufgaben auf dem Gebiet der</w:t>
      </w:r>
    </w:p>
    <w:p>
      <w:r>
        <w:t xml:space="preserve">Unfallfürsorge nach Abschnitt V des Beamtenversorgungsgesetzes für aktive</w:t>
      </w:r>
    </w:p>
    <w:p>
      <w:r>
        <w:t xml:space="preserve">Beamtinnen und Beamte:</w:t>
      </w:r>
    </w:p>
    <w:p>
      <w:r>
        <w:t xml:space="preserve">Entscheidung</w:t>
      </w:r>
    </w:p>
    <w:p>
      <w:r>
        <w:t xml:space="preserve">gemäß § 45 Abs. 3 Satz 2 des Beamtenversorgungsgesetzes, ob ein Dienstunfall</w:t>
      </w:r>
    </w:p>
    <w:p>
      <w:r>
        <w:t xml:space="preserve">vorliegt und ob der Verletzte den Dienstunfall vorsätzlich herbeigeführt</w:t>
      </w:r>
    </w:p>
    <w:p>
      <w:r>
        <w:t xml:space="preserve">hat,</w:t>
      </w:r>
    </w:p>
    <w:p>
      <w:r>
        <w:t xml:space="preserve">Festsetzung der</w:t>
      </w:r>
    </w:p>
    <w:p>
      <w:r>
        <w:t xml:space="preserve">Unfallfürsorgeleistungen gemäß § 49 Abs. 1 Satz 1 des</w:t>
      </w:r>
    </w:p>
    <w:p>
      <w:r>
        <w:t xml:space="preserve">Beamtenversorgungsgesetzes,</w:t>
      </w:r>
    </w:p>
    <w:p>
      <w:r>
        <w:t xml:space="preserve">Anordnung der</w:t>
      </w:r>
    </w:p>
    <w:p>
      <w:r>
        <w:t xml:space="preserve">ärztlichen Untersuchung gemäß § 35 Abs. 3 Satz 2 des</w:t>
      </w:r>
    </w:p>
    <w:p>
      <w:r>
        <w:t xml:space="preserve">Beamtenversorgungsgesetzes,</w:t>
      </w:r>
    </w:p>
    <w:p>
      <w:r>
        <w:t xml:space="preserve">Versagung von</w:t>
      </w:r>
    </w:p>
    <w:p>
      <w:r>
        <w:t xml:space="preserve">Unfallfürsorgeleistungen gemäß § 44 Abs. 2 Satz 1 des</w:t>
      </w:r>
    </w:p>
    <w:p>
      <w:r>
        <w:t xml:space="preserve">Beamtenversorgungsgesetzes.</w:t>
      </w:r>
    </w:p>
    <w:p>
      <w:r>
        <w:rPr>
          <w:color w:val="555555"/>
          <w:sz w:val="17"/>
        </w:rPr>
        <w:t xml:space="preserve">Zitiervorschlag: § 3 BZVEUV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https://recht.nulegal.eu/gesetze/BZVEUV/3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