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BZVEUV (Brandenburg)</w:t>
      </w:r>
    </w:p>
    <w:p>
      <w:r>
        <w:rPr>
          <w:color w:val="555555"/>
          <w:sz w:val="18"/>
        </w:rPr>
        <w:t xml:space="preserve">Beamtenzuständigkeitsverordnung Stiftung EUV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Stiftung Europa-Universität</w:t>
      </w:r>
    </w:p>
    <w:p>
      <w:r>
        <w:t xml:space="preserve">Viadrina Frankfurt (Oder) ist zuständig für:</w:t>
      </w:r>
    </w:p>
    <w:p>
      <w:r>
        <w:t xml:space="preserve">die</w:t>
      </w:r>
    </w:p>
    <w:p>
      <w:r>
        <w:t xml:space="preserve">Festsetzung des Besoldungsdienstalters,</w:t>
      </w:r>
    </w:p>
    <w:p>
      <w:r>
        <w:t xml:space="preserve">die</w:t>
      </w:r>
    </w:p>
    <w:p>
      <w:r>
        <w:t xml:space="preserve">Feststellung der vergütungsfähigen Stunden und des Stundensatzes für die</w:t>
      </w:r>
    </w:p>
    <w:p>
      <w:r>
        <w:t xml:space="preserve">Mehrarbeitsvergütung,</w:t>
      </w:r>
    </w:p>
    <w:p>
      <w:r>
        <w:t xml:space="preserve">die</w:t>
      </w:r>
    </w:p>
    <w:p>
      <w:r>
        <w:t xml:space="preserve">Feststellung der Anspruchsvoraussetzungen und der Merkmale für die Gewährung von</w:t>
      </w:r>
    </w:p>
    <w:p>
      <w:r>
        <w:t xml:space="preserve">funktionsgebundenen Stellenzulagen, Erschwerniszulagen, sonstigen Zulagen und</w:t>
      </w:r>
    </w:p>
    <w:p>
      <w:r>
        <w:t xml:space="preserve">sonstigen Vergütungen und soweit die Anspruchsvoraussetzungen auf Merkmalen</w:t>
      </w:r>
    </w:p>
    <w:p>
      <w:r>
        <w:t xml:space="preserve">beruhen, die nur der Personalakten führenden Stelle bekannt sind, die</w:t>
      </w:r>
    </w:p>
    <w:p>
      <w:r>
        <w:t xml:space="preserve">Festsetzung von Überleitungszulagen und Ausgleichszulagen sowie die</w:t>
      </w:r>
    </w:p>
    <w:p>
      <w:r>
        <w:t xml:space="preserve">erforderliche Feststellung für die Gewährung eines Sonderzuschlages nach der</w:t>
      </w:r>
    </w:p>
    <w:p>
      <w:r>
        <w:t xml:space="preserve">Sonderzuschlagsverordnung gemäß § 72 des Bundesbesoldungsgesetzes,</w:t>
      </w:r>
    </w:p>
    <w:p>
      <w:r>
        <w:t xml:space="preserve">die</w:t>
      </w:r>
    </w:p>
    <w:p>
      <w:r>
        <w:t xml:space="preserve">Entscheidung über die Anrechnung anderer Einkünfte gemäß § 9a Abs. 1 des</w:t>
      </w:r>
    </w:p>
    <w:p>
      <w:r>
        <w:t xml:space="preserve">Bundesbesoldungsgesetzes, soweit § 1 Abs. 2 nichts anderes bestimmt.</w:t>
      </w:r>
    </w:p>
    <w:p>
      <w:r>
        <w:rPr>
          <w:color w:val="555555"/>
          <w:sz w:val="17"/>
        </w:rPr>
        <w:t xml:space="preserve">Zitiervorschlag: § 2 BZVEUV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https://recht.nulegal.eu/gesetze/BZVEUV/2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