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BZRG — Übernahme von Eintragungen in das Zentralregister</w:t>
      </w:r>
    </w:p>
    <w:p>
      <w:r>
        <w:rPr>
          <w:color w:val="555555"/>
          <w:sz w:val="18"/>
        </w:rPr>
        <w:t xml:space="preserve">Bundeszentralregistergesetz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Eintragungen, die vor dem Inkrafttreten dieses Gesetzes in das Strafregister aufgenommen worden sind, werden in das Zentralregister übernommen.</w:t>
      </w:r>
    </w:p>
    <w:p>
      <w:r>
        <w:t xml:space="preserve">(2) Nicht übernommen werden Eintragungen über Verurteilungen zu</w:t>
      </w:r>
    </w:p>
    <w:p>
      <w:pPr>
        <w:ind w:left="420"/>
      </w:pPr>
      <w:r>
        <w:t xml:space="preserve">1. Geldstrafe, die mehr als zwei Jahre vor dem Inkrafttreten dieses Gesetzes ausgesprochen worden ist, wenn die Ersatzfreiheitsstrafe nicht mehr als drei Monate beträgt und keine weitere Eintragung im Register enthalten ist,</w:t>
      </w:r>
    </w:p>
    <w:p>
      <w:pPr>
        <w:ind w:left="420"/>
      </w:pPr>
      <w:r>
        <w:t xml:space="preserve">2. Geldstrafe, bei der die Voraussetzungen der Nummer 1 nicht vorliegen, Freiheitsstrafe und Jugendstrafe von nicht mehr als neun Monaten sowie Strafarrest, wenn die Strafe mehr als fünf Jahre vor dem Inkrafttreten dieses Gesetzes ausgesprochen worden ist,</w:t>
      </w:r>
    </w:p>
    <w:p>
      <w:pPr>
        <w:ind w:left="420"/>
      </w:pPr>
      <w:r>
        <w:t xml:space="preserve">3. Freiheitsstrafe und Jugendstrafe von mehr als neun Monaten, aber nicht mehr als drei Jahren, die mehr als zehn Jahre vor dem Inkrafttreten dieses Gesetzes ausgesprochen worden ist,</w:t>
      </w:r>
    </w:p>
    <w:p>
      <w:pPr>
        <w:ind w:left="420"/>
      </w:pPr>
      <w:r>
        <w:t xml:space="preserve">4. Freiheitsstrafe und Jugendstrafe von mehr als drei, aber nicht mehr als fünf Jahren, die mehr als fünfzehn Jahre vor dem Inkrafttreten dieses Gesetzes ausgesprochen worden ist.</w:t>
      </w:r>
    </w:p>
    <w:p>
      <w:r>
        <w:t xml:space="preserve">(3) Absatz 2 gilt nicht, wenn</w:t>
      </w:r>
    </w:p>
    <w:p>
      <w:pPr>
        <w:ind w:left="420"/>
      </w:pPr>
      <w:r>
        <w:t xml:space="preserve">1. die betroffene Person als gefährlicher Gewohnheitsverbrecher oder innerhalb der letzten zehn Jahre vor dem Inkrafttreten dieses Gesetzes zu Freiheitsstrafe oder Jugendstrafe von mehr als neun Monaten verurteilt worden ist,</w:t>
      </w:r>
    </w:p>
    <w:p>
      <w:pPr>
        <w:ind w:left="420"/>
      </w:pPr>
      <w:r>
        <w:t xml:space="preserve">2. gegen die betroffene Person auf Unterbringung in einer Heil- oder Pflegeanstalt oder auf Untersagung der Erteilung der Fahrerlaubnis für immer erkannt worden ist.</w:t>
      </w:r>
    </w:p>
    <w:p>
      <w:r>
        <w:t xml:space="preserve">(4) Nicht übernommen werden ferner Eintragungen über Entscheidungen von Verwaltungsbehörden aus der Zeit bis zum 23. Mai 1945.</w:t>
      </w:r>
    </w:p>
    <w:p>
      <w:r>
        <w:t xml:space="preserve">(5) Die in das Zentralregister zu übernehmenden Eintragungen werden nach den Vorschriften dieses Gesetzes behandelt.</w:t>
      </w:r>
    </w:p>
    <w:p>
      <w:r>
        <w:rPr>
          <w:color w:val="555555"/>
          <w:sz w:val="17"/>
        </w:rPr>
        <w:t xml:space="preserve">Zitiervorschlag: § 65 BZRG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https://recht.nulegal.eu/gesetze/BZRG/65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