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BZRG — Begrenzung von Offenbarungspflichten der betroffenen Person</w:t>
      </w:r>
    </w:p>
    <w:p>
      <w:r>
        <w:rPr>
          <w:color w:val="555555"/>
          <w:sz w:val="18"/>
        </w:rPr>
        <w:t xml:space="preserve">Bundeszentralregistergesetz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Eintragungen in das Erziehungsregister und die ihnen zugrunde liegenden Sachverhalte braucht die betroffene Person nicht zu offenbaren.</w:t>
      </w:r>
    </w:p>
    <w:p>
      <w:r>
        <w:t xml:space="preserve">(2) Soweit Gerichte oder Behörden ein Recht auf Auskunft aus dem Erziehungsregister haben, kann die betroffene Person ihnen gegenüber keine Rechte aus Absatz 1 herleiten, falls sie hierüber belehrt wird.</w:t>
      </w:r>
    </w:p>
    <w:p>
      <w:r>
        <w:rPr>
          <w:color w:val="555555"/>
          <w:sz w:val="17"/>
        </w:rPr>
        <w:t xml:space="preserve">Zitiervorschlag: § 64 BZRG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https://recht.nulegal.eu/gesetze/BZRG/64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