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BZRG — Entfernung von Eintragungen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Eintragungen im Erziehungsregister werden entfernt, sobald die betroffene Person das 24. Lebensjahr vollendet hat.</w:t>
      </w:r>
    </w:p>
    <w:p>
      <w:r>
        <w:t xml:space="preserve">(2) Die Entfernung unterbleibt, solange im Zentralregister eine Verurteilung zu Freiheitsstrafe, Strafarrest oder Jugendstrafe oder eine freiheitsentziehende Maßregel der Besserung und Sicherung eingetragen ist.</w:t>
      </w:r>
    </w:p>
    <w:p>
      <w:r>
        <w:t xml:space="preserve">(3) Die Registerbehörde kann auf Antrag oder von Amts wegen anordnen, daß Eintragungen vorzeitig entfernt werden, wenn die Vollstreckung erledigt ist und das öffentliche Interesse einer solchen Anordnung nicht entgegensteht. § 49 Abs. 3 ist anzuwenden.</w:t>
      </w:r>
    </w:p>
    <w:p>
      <w:r>
        <w:t xml:space="preserve">(4) Die §§ 51, 52 gelten entsprechend.</w:t>
      </w:r>
    </w:p>
    <w:p>
      <w:r>
        <w:rPr>
          <w:color w:val="555555"/>
          <w:sz w:val="17"/>
        </w:rPr>
        <w:t xml:space="preserve">Zitiervorschlag: § 63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