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BZRG — Eintragungen in das Erziehungsregister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In das Erziehungsregister werden die folgenden Entscheidungen und Anordnungen eingetragen, soweit sie nicht nach § 5 Abs. 2 in das Zentralregister einzutragen sind:</w:t>
      </w:r>
    </w:p>
    <w:p>
      <w:pPr>
        <w:ind w:left="420"/>
      </w:pPr>
      <w:r>
        <w:t xml:space="preserve">1. die Anordnung von Maßnahmen nach § 3 Satz 2 des Jugendgerichtsgesetzes,</w:t>
      </w:r>
    </w:p>
    <w:p>
      <w:pPr>
        <w:ind w:left="420"/>
      </w:pPr>
      <w:r>
        <w:t xml:space="preserve">2. die Anordnung von Erziehungsmaßregeln oder Zuchtmitteln sowie eines diesbezüglich verhängten Ungehorsamsarrestes (§§ 9 bis 16 des Jugendgerichtsgesetzes), Nebenstrafen oder Nebenfolgen (§ 8 Abs. 3, § 76 des Jugendgerichtsgesetzes) allein oder in Verbindung miteinander,</w:t>
      </w:r>
    </w:p>
    <w:p>
      <w:pPr>
        <w:ind w:left="420"/>
      </w:pPr>
      <w:r>
        <w:t xml:space="preserve">3. der Schuldspruch, der nach § 13 Absatz 2 Satz 2 aus dem Zentralregister entfernt worden ist, sowie die Entscheidung, die nach § 13 Absatz 3 aus dem Zentralregister entfernt worden ist,</w:t>
      </w:r>
    </w:p>
    <w:p>
      <w:pPr>
        <w:ind w:left="420"/>
      </w:pPr>
      <w:r>
        <w:t xml:space="preserve">4. Entscheidungen, in denen das Gericht die Auswahl und Anordnung von Erziehungsmaßregeln dem Familiengericht überläßt (§§ 53, 104 Abs. 4 des Jugendgerichtsgesetzes),</w:t>
      </w:r>
    </w:p>
    <w:p>
      <w:pPr>
        <w:ind w:left="420"/>
      </w:pPr>
      <w:r>
        <w:t xml:space="preserve">5. Anordnungen des Familiengerichts, die auf Grund einer Entscheidung nach Nummer 4 ergehen,</w:t>
      </w:r>
    </w:p>
    <w:p>
      <w:pPr>
        <w:ind w:left="420"/>
      </w:pPr>
      <w:r>
        <w:t xml:space="preserve">6. der Freispruch wegen mangelnder Reife und die Einstellung des Verfahrens aus diesem Grund (§ 3 Satz 1 des Jugendgerichtsgesetzes),</w:t>
      </w:r>
    </w:p>
    <w:p>
      <w:pPr>
        <w:ind w:left="420"/>
      </w:pPr>
      <w:r>
        <w:t xml:space="preserve">7. das Absehen von der Verfolgung nach § 45 des Jugendgerichtsgesetzes und die Einstellung des Verfahrens nach § 47 des Jugendgerichtsgesetzes,</w:t>
      </w:r>
    </w:p>
    <w:p>
      <w:pPr>
        <w:ind w:left="420"/>
      </w:pPr>
      <w:r>
        <w:t xml:space="preserve">8. (weggefallen)</w:t>
      </w:r>
    </w:p>
    <w:p>
      <w:pPr>
        <w:ind w:left="420"/>
      </w:pPr>
      <w:r>
        <w:t xml:space="preserve">9. vorläufige und endgültige Entscheidungen des Familiengerichts nach § 1666 Abs. 1 und § 1666a des Bürgerlichen Gesetzbuchs sowie Entscheidungen des Familiengerichts nach § 1802 Absatz 2 Satz 3 in Verbindung mit § 1666 Abs. 1 und § 1666a des Bürgerlichen Gesetzbuchs, welche die Sorge für die Person des Minderjährigen betreffen; ferner die Entscheidungen, durch welche die vorgenannten Entscheidungen aufgehoben oder geändert werden.</w:t>
      </w:r>
    </w:p>
    <w:p>
      <w:r>
        <w:t xml:space="preserve">(2) In den Fällen des Absatzes 1 Nr. 7 ist zugleich die vom Gericht nach § 45 Abs. 3 oder § 47 Abs. 1 Satz 1 Nr. 3 des Jugendgerichtsgesetzes getroffene Maßnahme einzutragen.</w:t>
      </w:r>
    </w:p>
    <w:p>
      <w:r>
        <w:t xml:space="preserve">(3) Ist ein Jugendarrest angeordnet worden, wird auch seine vollständige Nichtvollstreckung eingetragen.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60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https://recht.nulegal.eu/gesetze/BZRG/60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