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58d BZRG — Kennzeichnung eines Datensatzes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(1) Zur Kennzeichnung eines Datensatzes in ECRIS-TCN nach Artikel 5 Absatz 1 Buchstabe c der Verordnung (EU) 2019/816 unterrichtet die für die Mitteilung nach § 20 Absatz 1 Satz 1 zuständige Stelle die Registerbehörde darüber, ob eine strafgerichtliche Verurteilung aufgrund einer terroristischen oder aufgrund einer sonstigen Straftat erfolgt ist, die</w:t>
      </w:r>
    </w:p>
    <w:p>
      <w:pPr>
        <w:ind w:left="420"/>
      </w:pPr>
      <w:r>
        <w:t xml:space="preserve">1. mit einer Freiheitsstrafe im Höchstmaß von mindestens drei Jahren bedroht ist und</w:t>
      </w:r>
    </w:p>
    <w:p>
      <w:pPr>
        <w:ind w:left="420"/>
      </w:pPr>
      <w:r>
        <w:t xml:space="preserve">2. zu einer der im Anhang zur Verordnung (EU) 2018/1240 des Europäischen Parlaments und des Rates vom 12. September 2018 über die Einrichtung eines Europäischen Reiseinformations- und -genehmigungssystems (ETIAS) und zur Änderung der Verordnungen (EU) Nr. 1077/2011, (EU) Nr. 515/2014, (EU) 2016/399, (EU) 2016/1624 und (EU) 2017/2226 (ABl. L 236 vom 19.9.2018, S. 1; L 323 vom 19.12.2018, S. 37; L 193 vom 17.6.2020, S. 16), die zuletzt durch die Verordnung (EU) 2021/1152 (ABl. L 249 vom 14.7.2021, S. 15) geändert worden ist, aufgeführten Deliktsgruppen gehört.</w:t>
      </w:r>
    </w:p>
    <w:p>
      <w:r>
        <w:t xml:space="preserve">(2) Die Registerbehörde darf die nach Absatz 1 übermittelten personenbezogenen Daten erheben, speichern und verwenden, soweit dies zu Zwecken der Verordnung (EU) 2019/816 erforderlich ist. Ist eine Verwendung zu diesen Zwecken nicht mehr erforderlich, so sind die personenbezogenen Daten unverzüglich zu löschen.</w:t>
      </w:r>
    </w:p>
    <w:p>
      <w:r>
        <w:rPr>
          <w:color w:val="555555"/>
          <w:sz w:val="17"/>
        </w:rPr>
        <w:t xml:space="preserve">Zitiervorschlag: § 58d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https://recht.nulegal.eu/gesetze/BZRG/58d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