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58c BZRG — Ablauf der Speicherfrist in ECRIS-TCN</w:t>
      </w:r>
    </w:p>
    <w:p>
      <w:r>
        <w:rPr>
          <w:color w:val="555555"/>
          <w:sz w:val="18"/>
        </w:rPr>
        <w:t xml:space="preserve">Bundeszentralregistergesetz</w:t>
      </w:r>
    </w:p>
    <w:p>
      <w:r>
        <w:rPr>
          <w:color w:val="555555"/>
          <w:sz w:val="18"/>
        </w:rPr>
        <w:t xml:space="preserve">Stand: 01.10.2022 (konsolidierte Textfassung, kein amtliches Inkrafttretensdatum)</w:t>
      </w:r>
    </w:p>
    <w:p>
      <w:r>
        <w:t xml:space="preserve">Die Speicherfrist nach Artikel 8 der Verordnung (EU) 2019/816 endet mit dem Eintritt der Tilgungsreife.</w:t>
      </w:r>
    </w:p>
    <w:p>
      <w:r>
        <w:rPr>
          <w:color w:val="555555"/>
          <w:sz w:val="17"/>
        </w:rPr>
        <w:t xml:space="preserve">Zitiervorschlag: § 58c BZRG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https://recht.nulegal.eu/gesetze/BZRG/58c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