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57b BZRG — Speicherung und Austausch von Registerinformationen im Zusammenhang mit einem Partnerstaat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09.12.2022 (konsolidierte Textfassung, kein amtliches Inkrafttretensdatum)</w:t>
      </w:r>
    </w:p>
    <w:p>
      <w:r>
        <w:t xml:space="preserve">Die §§ 56b und 57a Absatz 1 bis 3 und 5 bis 7 gelten entsprechend für die Speicherung und den Austausch von Registerinformationen im Zusammenhang mit einem Partnerstaat.</w:t>
      </w:r>
    </w:p>
    <w:p>
      <w:r>
        <w:rPr>
          <w:color w:val="555555"/>
          <w:sz w:val="17"/>
        </w:rPr>
        <w:t xml:space="preserve">Zitiervorschlag: § 57b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https://recht.nulegal.eu/gesetze/BZRG/57b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