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BZRG — Offenbarungspflicht bei Verurteilungen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(1) Verurteilte dürfen sich als unbestraft bezeichnen und brauchen den der Verurteilung zugrunde liegenden Sachverhalt nicht zu offenbaren, wenn die Verurteilung</w:t>
      </w:r>
    </w:p>
    <w:p>
      <w:pPr>
        <w:ind w:left="420"/>
      </w:pPr>
      <w:r>
        <w:t xml:space="preserve">1. nicht in das Führungszeugnis oder nur in ein Führungszeugnis für Behörden (§ 30 Absatz 5, § 31) aufzunehmen ist oder</w:t>
      </w:r>
    </w:p>
    <w:p>
      <w:pPr>
        <w:ind w:left="420"/>
      </w:pPr>
      <w:r>
        <w:t xml:space="preserve">2. zu tilgen ist.</w:t>
      </w:r>
    </w:p>
    <w:p>
      <w:r>
        <w:t xml:space="preserve">(2) Soweit Gerichte oder Behörden ein Recht auf unbeschränkte Auskunft haben, können Verurteilte ihnen gegenüber keine Rechte aus Absatz 1 Nr. 1 herleiten, falls sie hierüber belehrt werden.</w:t>
      </w:r>
    </w:p>
    <w:p>
      <w:r>
        <w:rPr>
          <w:color w:val="555555"/>
          <w:sz w:val="17"/>
        </w:rPr>
        <w:t xml:space="preserve">Zitiervorschlag: § 53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