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BZRG — Tilgung nach Fristablauf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(1) Eintragungen über Verurteilungen (§ 4) werden nach Ablauf einer bestimmten Frist getilgt.</w:t>
      </w:r>
    </w:p>
    <w:p>
      <w:r>
        <w:t xml:space="preserve">(2) Eine zu tilgende Eintragung wird ein Jahr nach Eintritt der Tilgungsreife aus dem Register entfernt. Während dieser Zeit darf über die Eintragung nur der betroffenen Person Auskunft erteilt werden.</w:t>
      </w:r>
    </w:p>
    <w:p>
      <w:r>
        <w:t xml:space="preserve">(3) Absatz 1 gilt nicht</w:t>
      </w:r>
    </w:p>
    <w:p>
      <w:pPr>
        <w:ind w:left="420"/>
      </w:pPr>
      <w:r>
        <w:t xml:space="preserve">1. bei Verurteilungen zu lebenslanger Freiheitsstrafe,</w:t>
      </w:r>
    </w:p>
    <w:p>
      <w:pPr>
        <w:ind w:left="420"/>
      </w:pPr>
      <w:r>
        <w:t xml:space="preserve">2. bei Anordnung der Unterbringung in der Sicherungsverwahrung oder in einem psychiatrischen Krankenhaus oder</w:t>
      </w:r>
    </w:p>
    <w:p>
      <w:pPr>
        <w:ind w:left="420"/>
      </w:pPr>
      <w:r>
        <w:t xml:space="preserve">3. bei Verurteilungen wegen einer Straftat nach den §§ 176c oder 176d des Strafgesetzbuches, durch die erkannt worden ist</w:t>
      </w:r>
    </w:p>
    <w:p>
      <w:pPr>
        <w:ind w:left="780"/>
      </w:pPr>
      <w:r>
        <w:t xml:space="preserve">a) auf Freiheitsstrafe von mindestens fünf Jahren oder</w:t>
      </w:r>
    </w:p>
    <w:p>
      <w:pPr>
        <w:ind w:left="780"/>
      </w:pPr>
      <w:r>
        <w:t xml:space="preserve">b) auf Freiheitsstrafe von mindestens drei Jahren bei zwei oder mehr im Register eingetragenen Verurteilungen nach den §§ 176c oder 176d des Strafgesetzbuches.</w:t>
      </w:r>
    </w:p>
    <w:p>
      <w:r>
        <w:rPr>
          <w:color w:val="555555"/>
          <w:sz w:val="17"/>
        </w:rPr>
        <w:t xml:space="preserve">Zitiervorschlag: § 45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