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43a BZRG — Verfahrensübergreifende Mitteilungen von Amts wegen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Verfahren nach den §§ 25, 39, 49, 55 Absatz 2 und § 63 Absatz 3 ist die Übermittlung personenbezogener Daten zulässig, wenn die Kenntnis der Daten aus der Sicht der übermittelnden Stelle</w:t>
      </w:r>
    </w:p>
    <w:p>
      <w:pPr>
        <w:ind w:left="420"/>
      </w:pPr>
      <w:r>
        <w:t xml:space="preserve">1. zur Verfolgung einer Straftat,</w:t>
      </w:r>
    </w:p>
    <w:p>
      <w:pPr>
        <w:ind w:left="420"/>
      </w:pPr>
      <w:r>
        <w:t xml:space="preserve">2. zur Abwehr eines erheblichen Nachteils für das Gemeinwohl oder einer Gefahr für die öffentliche Sicherheit,</w:t>
      </w:r>
    </w:p>
    <w:p>
      <w:pPr>
        <w:ind w:left="420"/>
      </w:pPr>
      <w:r>
        <w:t xml:space="preserve">3. zur Abwehr einer schwerwiegenden Beeinträchtigung der Rechte einer anderen Person,</w:t>
      </w:r>
    </w:p>
    <w:p>
      <w:pPr>
        <w:ind w:left="420"/>
      </w:pPr>
      <w:r>
        <w:t xml:space="preserve">4. zur Abwehr einer erheblichen Gefährdung des Wohls einer minderjährigen Person oder</w:t>
      </w:r>
    </w:p>
    <w:p>
      <w:pPr>
        <w:ind w:left="420"/>
      </w:pPr>
      <w:r>
        <w:t xml:space="preserve">5. zur Erledigung eines Suchvermerks</w:t>
      </w:r>
    </w:p>
    <w:p>
      <w:r>
        <w:t xml:space="preserve">erforderlich ist.</w:t>
      </w:r>
    </w:p>
    <w:p>
      <w:r>
        <w:t xml:space="preserve">(2) Die §§ 18 bis 22 des Einführungsgesetzes zum Gerichtsverfassungsgesetz gelten entsprechend.</w:t>
      </w:r>
    </w:p>
    <w:p>
      <w:r>
        <w:rPr>
          <w:color w:val="555555"/>
          <w:sz w:val="17"/>
        </w:rPr>
        <w:t xml:space="preserve">Zitiervorschlag: § 43a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https://recht.nulegal.eu/gesetze/BZRG/43a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