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BZRG — Auskunft an die betroffene Person</w:t>
      </w:r>
    </w:p>
    <w:p>
      <w:r>
        <w:rPr>
          <w:color w:val="555555"/>
          <w:sz w:val="18"/>
        </w:rPr>
        <w:t xml:space="preserve">Bundeszentralregistergesetz</w:t>
      </w:r>
    </w:p>
    <w:p>
      <w:r>
        <w:rPr>
          <w:color w:val="555555"/>
          <w:sz w:val="18"/>
        </w:rPr>
        <w:t xml:space="preserve">Stand: 09.12.2022 (konsolidierte Textfassung, kein amtliches Inkrafttretensdatum)</w:t>
      </w:r>
    </w:p>
    <w:p>
      <w:r>
        <w:t xml:space="preserve">Das Auskunftsrecht nach Artikel 15 Absatz 1 der Verordnung (EU) 2016/679 wird dadurch gewährleistet, dass der betroffenen Person mitgeteilt wird, welche Eintragungen über sie im Register enthalten sind. Für die Antragsberechtigung und das Verfahren gilt § 30 Absatz 1 entsprechend. Erfolgt die Mitteilung nicht durch Einsichtnahme bei der Registerbehörde, so ist sie an ein von ihr benanntes Amtsgericht zu senden, bei dem sie die Mitteilung persönlich einsehen kann. Befindet sich die betroffene Person in amtlichem Gewahrsam einer Justizbehörde, so tritt die Anstaltsleitung an die Stelle des Amtsgerichts. Wohnt die antragstellende Person außerhalb des Geltungsbereichs dieses Gesetzes, so kann sie die Mitteilung auch an eine von ihr benannte amtliche Vertretung der Bundesrepublik Deutschland senden lassen, bei der sie die Mitteilung persönlich einsehen kann. Nach Einsichtnahme ist die Mitteilung vom Amtsgericht, der Anstaltsleitung oder der amtlichen Vertretung der Bundesrepublik Deutschland zu vernichten. Zum Schutz der betroffenen Personen ist die Aushändigung der Mitteilung oder einer Kopie unzulässig.</w:t>
      </w:r>
    </w:p>
    <w:p>
      <w:r>
        <w:rPr>
          <w:color w:val="555555"/>
          <w:sz w:val="17"/>
        </w:rPr>
        <w:t xml:space="preserve">Zitiervorschlag: § 42 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https://recht.nulegal.eu/gesetze/BZRG/42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