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BZRG — Verurteilungen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das Register sind die rechtskräftigen Entscheidungen einzutragen, durch die ein deutsches Gericht im Geltungsbereich dieses Gesetzes wegen einer rechtswidrigen Tat</w:t>
      </w:r>
    </w:p>
    <w:p>
      <w:pPr>
        <w:ind w:left="420"/>
      </w:pPr>
      <w:r>
        <w:t xml:space="preserve">1. auf Strafe erkannt,</w:t>
      </w:r>
    </w:p>
    <w:p>
      <w:pPr>
        <w:ind w:left="420"/>
      </w:pPr>
      <w:r>
        <w:t xml:space="preserve">2. eine Maßregel der Besserung und Sicherung angeordnet,</w:t>
      </w:r>
    </w:p>
    <w:p>
      <w:pPr>
        <w:ind w:left="420"/>
      </w:pPr>
      <w:r>
        <w:t xml:space="preserve">3. jemanden nach § 59 des Strafgesetzbuchs mit Strafvorbehalt verwarnt oder</w:t>
      </w:r>
    </w:p>
    <w:p>
      <w:pPr>
        <w:ind w:left="420"/>
      </w:pPr>
      <w:r>
        <w:t xml:space="preserve">4. nach § 27 des Jugendgerichtsgesetzes die Schuld eines Jugendlichen oder Heranwachsenden festgestellt</w:t>
      </w:r>
    </w:p>
    <w:p>
      <w:r>
        <w:t xml:space="preserve">hat.</w:t>
      </w:r>
    </w:p>
    <w:p>
      <w:r>
        <w:rPr>
          <w:color w:val="555555"/>
          <w:sz w:val="17"/>
        </w:rPr>
        <w:t xml:space="preserve">Zitiervorschlag: § 4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