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BZRG — Beginn der Frist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 beginnt mit dem Tag des ersten Urteils (§ 5 Abs. 1 Nr. 4). Dieser Tag bleibt auch maßgebend, wenn</w:t>
      </w:r>
    </w:p>
    <w:p>
      <w:pPr>
        <w:ind w:left="420"/>
      </w:pPr>
      <w:r>
        <w:t xml:space="preserve">1. eine Gesamtstrafe oder eine einheitliche Jugendstrafe gebildet,</w:t>
      </w:r>
    </w:p>
    <w:p>
      <w:pPr>
        <w:ind w:left="420"/>
      </w:pPr>
      <w:r>
        <w:t xml:space="preserve">2. nach § 30 Abs. 1 des Jugendgerichtsgesetzes auf Jugendstrafe erkannt wird oder</w:t>
      </w:r>
    </w:p>
    <w:p>
      <w:pPr>
        <w:ind w:left="420"/>
      </w:pPr>
      <w:r>
        <w:t xml:space="preserve">3. eine Entscheidung im Wiederaufnahmeverfahren ergeht, die eine registerpflichtige Verurteilung enthält.</w:t>
      </w:r>
    </w:p>
    <w:p>
      <w:r>
        <w:rPr>
          <w:color w:val="555555"/>
          <w:sz w:val="17"/>
        </w:rPr>
        <w:t xml:space="preserve">Zitiervorschlag: § 36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