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BZRG — Gesamtstrafe, Einheitsstrafe und Nebenentscheidungen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Gesamtstrafe oder eine einheitliche Jugendstrafe gebildet oder ist nach § 30 Abs. 1 des Jugendgerichtsgesetzes auf Jugendstrafe erkannt worden, so ist allein die neue Entscheidung für § 32 Abs. 2 und § 34 maßgebend.</w:t>
      </w:r>
    </w:p>
    <w:p>
      <w:r>
        <w:t xml:space="preserve">(2) Bei der Feststellung der Frist nach § 34 bleiben Nebenstrafen, Nebenfolgen und neben Freiheitsstrafe oder Strafarrest ausgesprochene Geldstrafen sowie Maßregeln der Besserung und Sicherung unberücksichtigt.</w:t>
      </w:r>
    </w:p>
    <w:p>
      <w:r>
        <w:rPr>
          <w:color w:val="555555"/>
          <w:sz w:val="17"/>
        </w:rPr>
        <w:t xml:space="preserve">Zitiervorschlag: § 35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