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BZRG — Automatisiertes Auskunftsverfahren</w:t>
      </w:r>
    </w:p>
    <w:p>
      <w:r>
        <w:rPr>
          <w:color w:val="555555"/>
          <w:sz w:val="18"/>
        </w:rPr>
        <w:t xml:space="preserve">Bundeszentralregistergesetz</w:t>
      </w:r>
    </w:p>
    <w:p>
      <w:r>
        <w:rPr>
          <w:color w:val="555555"/>
          <w:sz w:val="18"/>
        </w:rPr>
        <w:t xml:space="preserve">Stand: 26.08.2021 (konsolidierte Textfassung, kein amtliches Inkrafttretensdatum)</w:t>
      </w:r>
    </w:p>
    <w:p>
      <w:r>
        <w:t xml:space="preserve">Die Einrichtung eines automatisierten Anfrage- und Auskunftsverfahrens für die Übermittlung personenbezogener Daten ist zulässig, soweit diese Form der Datenübermittlung unter Berücksichtigung der schutzwürdigen Interessen der betroffenen Personen wegen der Vielzahl der Übermittlungen oder wegen ihrer besonderen Eilbedürftigkeit angemessen ist und wenn gewährleistet ist, dass die Daten gegen den unbefugten Zugriff Dritter bei der Übermittlung wirksam geschützt werden. § 493 Absatz 2 und 3 Satz 1 und 2 der Strafprozessordnung gilt entsprechend; für Auskunftsersuchen der Verfassungsschutzbehörden des Bundes und der Länder, des Bundesnachrichtendienstes und des Militärischen Abschirmdienstes gelten darüber hinaus § 492 Absatz 4a der Strafprozessordnung und § 8 der Verordnung über den Betrieb des Zentralen Staatsanwaltschaftlichen Verfahrensregisters entsprechend.</w:t>
      </w:r>
    </w:p>
    <w:p>
      <w:r>
        <w:rPr>
          <w:color w:val="555555"/>
          <w:sz w:val="17"/>
        </w:rPr>
        <w:t xml:space="preserve">Zitiervorschlag: § 21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