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BZRG — Nachträgliche Entscheidungen nach Jugendstrafrecht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das Register sind einzutragen</w:t>
      </w:r>
    </w:p>
    <w:p>
      <w:pPr>
        <w:ind w:left="420"/>
      </w:pPr>
      <w:r>
        <w:t xml:space="preserve">1. die Aussetzung der Jugendstrafe zur Bewährung durch Beschluß; dabei ist das Ende der Bewährungszeit zu vermerken,</w:t>
      </w:r>
    </w:p>
    <w:p>
      <w:pPr>
        <w:ind w:left="420"/>
      </w:pPr>
      <w:r>
        <w:t xml:space="preserve">2. die Aussetzung des Strafrestes; dabei ist das Ende der Bewährungszeit zu vermerken,</w:t>
      </w:r>
    </w:p>
    <w:p>
      <w:pPr>
        <w:ind w:left="420"/>
      </w:pPr>
      <w:r>
        <w:t xml:space="preserve">3. die Abkürzung oder Verlängerung der Bewährungszeit,</w:t>
      </w:r>
    </w:p>
    <w:p>
      <w:pPr>
        <w:ind w:left="420"/>
      </w:pPr>
      <w:r>
        <w:t xml:space="preserve">4. der Erlaß oder Teilerlaß der Jugendstrafe,</w:t>
      </w:r>
    </w:p>
    <w:p>
      <w:pPr>
        <w:ind w:left="420"/>
      </w:pPr>
      <w:r>
        <w:t xml:space="preserve">5. die Beseitigung des Strafmakels,</w:t>
      </w:r>
    </w:p>
    <w:p>
      <w:pPr>
        <w:ind w:left="420"/>
      </w:pPr>
      <w:r>
        <w:t xml:space="preserve">6. der Widerruf der Aussetzung einer Jugendstrafe oder eines Strafrestes und der Beseitigung des Strafmakels,</w:t>
      </w:r>
    </w:p>
    <w:p>
      <w:pPr>
        <w:ind w:left="420"/>
      </w:pPr>
      <w:r>
        <w:t xml:space="preserve">7. Entscheidungen über eine vorbehaltene Sicherungsverwahrung,</w:t>
      </w:r>
    </w:p>
    <w:p>
      <w:pPr>
        <w:ind w:left="420"/>
      </w:pPr>
      <w:r>
        <w:t xml:space="preserve">8. die nachträgliche Anordnung der Unterbringung in der Sicherungsverwahrung.</w:t>
      </w:r>
    </w:p>
    <w:p>
      <w:r>
        <w:t xml:space="preserve">(2) Wird nach § 30 Abs. 1 des Jugendgerichtsgesetzes auf Jugendstrafe erkannt, so ist auch diese in das Register einzutragen; § 7 Abs. 1 gilt entsprechend. Die Eintragung über einen Schuldspruch wird aus dem Register entfernt, wenn der Schuldspruch</w:t>
      </w:r>
    </w:p>
    <w:p>
      <w:pPr>
        <w:ind w:left="420"/>
      </w:pPr>
      <w:r>
        <w:t xml:space="preserve">1. nach § 30 Abs. 2 des Jugendgerichtsgesetzes getilgt wird oder</w:t>
      </w:r>
    </w:p>
    <w:p>
      <w:pPr>
        <w:ind w:left="420"/>
      </w:pPr>
      <w:r>
        <w:t xml:space="preserve">2. nach § 31 Abs. 2, § 66 des Jugendgerichtsgesetzes in eine Entscheidung einbezogen wird, die in das Erziehungsregister einzutragen ist.</w:t>
      </w:r>
    </w:p>
    <w:p>
      <w:r>
        <w:t xml:space="preserve">(3) Die Eintragung über eine Verurteilung wird aus dem Register entfernt, wenn diese in eine Entscheidung einbezogen wird, die in das Erziehungsregister einzutragen ist.</w:t>
      </w:r>
    </w:p>
    <w:p>
      <w:r>
        <w:rPr>
          <w:color w:val="555555"/>
          <w:sz w:val="17"/>
        </w:rPr>
        <w:t xml:space="preserve">Zitiervorschlag: § 13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