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BZEV</w:t>
      </w:r>
    </w:p>
    <w:p>
      <w:r>
        <w:rPr>
          <w:color w:val="555555"/>
          <w:sz w:val="18"/>
        </w:rPr>
        <w:t xml:space="preserve">BZE-Verordnung</w:t>
      </w:r>
    </w:p>
    <w:p>
      <w:r>
        <w:rPr>
          <w:color w:val="555555"/>
          <w:sz w:val="18"/>
        </w:rPr>
        <w:t xml:space="preserve">Stand: 14.07.2020 (konsolidierte Textfassung, kein amtliches Inkrafttretensdatum)</w:t>
      </w:r>
    </w:p>
    <w:p>
      <w:r>
        <w:t xml:space="preserve">Auf Grund des § 41a Absatz 6 Satz 1 des Bundeswaldgesetzes, der zuletzt durch Artikel 413 der Verordnung vom 31. August 2015 (BGBl. I S. 1474) geändert worden ist,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BZEV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