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BZEV — Bundesprobenbank</w:t>
      </w:r>
    </w:p>
    <w:p>
      <w:r>
        <w:rPr>
          <w:color w:val="555555"/>
          <w:sz w:val="18"/>
        </w:rPr>
        <w:t xml:space="preserve">BZE-Verordnung</w:t>
      </w:r>
    </w:p>
    <w:p>
      <w:r>
        <w:rPr>
          <w:color w:val="555555"/>
          <w:sz w:val="18"/>
        </w:rPr>
        <w:t xml:space="preserve">Stand: 14.07.2020 (konsolidierte Textfassung, kein amtliches Inkrafttretensdatum)</w:t>
      </w:r>
    </w:p>
    <w:p>
      <w:r>
        <w:t xml:space="preserve">Der Bund unterhält eine Bundesprobenbank zur langfristigen Lagerung von Referenzproben von allen Aufnahmeflächen der Bodenzustandserhebung. Die Länder stellen der Bundesprobenbank nach jeder Probennahme entsprechendes Probenmaterial zur Verfügung.</w:t>
      </w:r>
    </w:p>
    <w:p>
      <w:r>
        <w:rPr>
          <w:color w:val="555555"/>
          <w:sz w:val="17"/>
        </w:rPr>
        <w:t xml:space="preserve">Zitiervorschlag: § 6 BZEV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https://recht.nulegal.eu/gesetze/BZEV/6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