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BZEV — Erhebung der Grunddaten</w:t>
      </w:r>
    </w:p>
    <w:p>
      <w:r>
        <w:rPr>
          <w:color w:val="555555"/>
          <w:sz w:val="18"/>
        </w:rPr>
        <w:t xml:space="preserve">BZE-Verordnung</w:t>
      </w:r>
    </w:p>
    <w:p>
      <w:r>
        <w:rPr>
          <w:color w:val="555555"/>
          <w:sz w:val="18"/>
        </w:rPr>
        <w:t xml:space="preserve">Stand: 14.07.2020 (konsolidierte Textfassung, kein amtliches Inkrafttretensdatum)</w:t>
      </w:r>
    </w:p>
    <w:p>
      <w:r>
        <w:t xml:space="preserve">(1) Nachstehende Grunddaten zur Nährstoffversorgung und Schadstoffbelastung der Waldböden sind zu erheben:</w:t>
      </w:r>
    </w:p>
    <w:p>
      <w:pPr>
        <w:ind w:left="420"/>
      </w:pPr>
      <w:r>
        <w:t xml:space="preserve">1. die Titeldaten; hierzu gehören die georeferenzierte Information über die Lage der Aufnahmefläche sowie Daten über die aktuelle Bestockung und die Bewirtschaftung auf der Aufnahmefläche,</w:t>
      </w:r>
    </w:p>
    <w:p>
      <w:pPr>
        <w:ind w:left="420"/>
      </w:pPr>
      <w:r>
        <w:t xml:space="preserve">2. die Daten zur Profilaufnahme,</w:t>
      </w:r>
    </w:p>
    <w:p>
      <w:pPr>
        <w:ind w:left="420"/>
      </w:pPr>
      <w:r>
        <w:t xml:space="preserve">3. die Daten zur Bodenchemie auf der Grundlage einer tiefenstufenbezogenen Beprobung des Mineralbodens und einer Beprobung der Humusauflage,</w:t>
      </w:r>
    </w:p>
    <w:p>
      <w:pPr>
        <w:ind w:left="420"/>
      </w:pPr>
      <w:r>
        <w:t xml:space="preserve">4. die Daten zur Bodenphysik mit den Zielgrößen Feinbodenvorrat und Humusvorrat,</w:t>
      </w:r>
    </w:p>
    <w:p>
      <w:pPr>
        <w:ind w:left="420"/>
      </w:pPr>
      <w:r>
        <w:t xml:space="preserve">5. die Daten zum Ernährungszustand der Hauptbaumarten,</w:t>
      </w:r>
    </w:p>
    <w:p>
      <w:pPr>
        <w:ind w:left="420"/>
      </w:pPr>
      <w:r>
        <w:t xml:space="preserve">6. die Daten zur Bodenvegetation,</w:t>
      </w:r>
    </w:p>
    <w:p>
      <w:pPr>
        <w:ind w:left="420"/>
      </w:pPr>
      <w:r>
        <w:t xml:space="preserve">7. die Daten über den Baumbestand am Aufnahmepunkt und</w:t>
      </w:r>
    </w:p>
    <w:p>
      <w:pPr>
        <w:ind w:left="420"/>
      </w:pPr>
      <w:r>
        <w:t xml:space="preserve">8. die Daten zum Kronenzustand im Jahr 2022, im Jahr 2023 und im Jahr 2024.</w:t>
      </w:r>
    </w:p>
    <w:p>
      <w:r>
        <w:t xml:space="preserve">Einzelheiten werden in der mit den Ländern abzustimmenden Arbeitsanleitung geregelt.</w:t>
      </w:r>
    </w:p>
    <w:p>
      <w:r>
        <w:t xml:space="preserve">(2) Die zur Erhebung der Grunddaten erforderlichen Arbeiten im Gelände finden in den Jahren 2022 bis 2024 statt. Die Arbeiten im Gelände müssen am 31. Dezember 2024 abgeschlossen sein.</w:t>
      </w:r>
    </w:p>
    <w:p>
      <w:r>
        <w:rPr>
          <w:color w:val="555555"/>
          <w:sz w:val="17"/>
        </w:rPr>
        <w:t xml:space="preserve">Zitiervorschlag: § 1 BZEV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