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BZÜVMIL (Brandenburg) — Inkrafttreten</w:t>
      </w:r>
    </w:p>
    <w:p>
      <w:r>
        <w:rPr>
          <w:color w:val="555555"/>
          <w:sz w:val="18"/>
        </w:rPr>
        <w:t xml:space="preserve">Beamtenzuständigkeitsübertragungsverordnung MIL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Dezember 2015 in Kraft.</w:t>
      </w:r>
    </w:p>
    <w:p>
      <w:r>
        <w:t xml:space="preserve">Einzelnorm</w:t>
      </w:r>
    </w:p>
    <w:p>
      <w:r>
        <w:t xml:space="preserve">Potsdam, den 20. November 2015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rPr>
          <w:color w:val="555555"/>
          <w:sz w:val="17"/>
        </w:rPr>
        <w:t xml:space="preserve">Zitiervorschlag: § 6 BZÜVMIL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https://recht.nulegal.eu/gesetze/BZ%C3%9CVMIL/6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