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BZÜVMIL (Brandenburg) — Vertretung bei Klagen aus dem Beamtenverhältnis</w:t>
      </w:r>
    </w:p>
    <w:p>
      <w:r>
        <w:rPr>
          <w:color w:val="555555"/>
          <w:sz w:val="18"/>
        </w:rPr>
        <w:t xml:space="preserve">Beamtenzuständigkeitsübertragungsverordnung MIL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auf die in § 1 genannten Dienststellen für ihren jeweiligen Bereich übertragen, soweit diese selbst über den Widerspruch entschieden haben oder hätten entscheiden müssen. Satz 1 ist in Verfahren zur Erlangung des einstweiligen Rechtsschutzes nach der Verwaltungsgerichtsordnung entsprechend anzuwenden.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BZÜVMIL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https://recht.nulegal.eu/gesetze/BZ%C3%9CVMIL/5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