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BWpVerwPG — Personalvertretungs- und betriebsverfassungsrechtliche Zuständigkeiten</w:t>
      </w:r>
    </w:p>
    <w:p>
      <w:r>
        <w:rPr>
          <w:color w:val="555555"/>
          <w:sz w:val="18"/>
        </w:rPr>
        <w:t xml:space="preserve">Bundeswertpapierverwaltungspersonalgesetz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Personalrat des Bundesamtes für zentrale Dienste und offene Vermögensfragen ist für diejenigen Personalangelegenheiten der in § 2 Abs. 1 genannten Beschäftigten nach dem Bundespersonalvertretungsgesetz zuständig, über die das Bundesamt für zentrale Dienste und offene Vermögensfragen zu entscheiden hat.</w:t>
      </w:r>
    </w:p>
    <w:p>
      <w:r>
        <w:t xml:space="preserve">(2) In Angelegenheiten, in denen die Bundesrepublik Deutschland - Finanzagentur GmbH entscheidet, werden die Beteiligungsrechte nach dem Betriebsverfassungsgesetz vom Betriebsrat der Bundesrepublik Deutschland - Finanzagentur GmbH wahrgenommen.</w:t>
      </w:r>
    </w:p>
    <w:p>
      <w:r>
        <w:rPr>
          <w:color w:val="555555"/>
          <w:sz w:val="17"/>
        </w:rPr>
        <w:t xml:space="preserve">Zitiervorschlag: § 6 BWpVerwPG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https://recht.nulegal.eu/gesetze/BWpVerwPG/6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