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BWpVerwPG — Anwendbarkeit des Bundespersonalvertretungsgesetzes</w:t>
      </w:r>
    </w:p>
    <w:p>
      <w:r>
        <w:rPr>
          <w:color w:val="555555"/>
          <w:sz w:val="18"/>
        </w:rPr>
        <w:t xml:space="preserve">Bundeswertpapierverwaltungspersonalgesetz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 in § 2 Abs. 1 benannten Beschäftigten gelten im Sinne des Bundespersonalvertretungsgesetzes als Beschäftigte des Bundesamtes für zentrale Dienste und offene Vermögensfragen. § 14 Absatz 2 Satz 4 des Bundespersonalvertretungsgesetzes findet keine Anwendung.</w:t>
      </w:r>
    </w:p>
    <w:p>
      <w:r>
        <w:rPr>
          <w:color w:val="555555"/>
          <w:sz w:val="17"/>
        </w:rPr>
        <w:t xml:space="preserve">Zitiervorschlag: § 4 BWpVerwPG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https://recht.nulegal.eu/gesetze/BWpVerwPG/4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BWpVerwPG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