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BWildSchV</w:t>
      </w:r>
    </w:p>
    <w:p>
      <w:r>
        <w:rPr>
          <w:color w:val="555555"/>
          <w:sz w:val="18"/>
        </w:rPr>
        <w:t xml:space="preserve">Bundeswildschutzverordnung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Abs. 1 Nr. 2, 4 und 5 in Verbindung mit § 36 Abs. 3 des Bundesjagdgesetzes in der Fassung der Bekanntmachung vom 29. September 1976 (BGBl. I S. 2849) wird mit Zustimmung des Bundesrates verordnet:</w:t>
      </w:r>
    </w:p>
    <w:p>
      <w:r>
        <w:rPr>
          <w:color w:val="555555"/>
          <w:sz w:val="17"/>
        </w:rPr>
        <w:t xml:space="preserve">Zitiervorschlag: Eingangsformel BWildSchV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https://recht.nulegal.eu/gesetze/BWildSchV/eingangsformel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