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BWildSchV — (zu § 2 Absatz 2 Satz 3 Nummer 1) Liste der von bestimmten Verboten ausgenommenen Wildarten</w:t>
      </w:r>
    </w:p>
    <w:p>
      <w:r>
        <w:rPr>
          <w:color w:val="555555"/>
          <w:sz w:val="18"/>
        </w:rPr>
        <w:t xml:space="preserve">Bundeswildschutzverordnung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2018, 1164)</w:t>
      </w:r>
    </w:p>
    <w:p>
      <w:r>
        <w:t xml:space="preserve">Rebhuhn (Perdix perdix L.)</w:t>
      </w:r>
    </w:p>
    <w:p>
      <w:r>
        <w:t xml:space="preserve">Fasan (Phasianus colchicus L.)</w:t>
      </w:r>
    </w:p>
    <w:p>
      <w:r>
        <w:t xml:space="preserve">Ringeltaube (Columba palumbus L.)</w:t>
      </w:r>
    </w:p>
    <w:p>
      <w:r>
        <w:t xml:space="preserve">Graugans (Anser anser L.)</w:t>
      </w:r>
    </w:p>
    <w:p>
      <w:r>
        <w:t xml:space="preserve">Stockente (Anas platyrhynchos L.)</w:t>
      </w:r>
    </w:p>
    <w:p>
      <w:r>
        <w:t xml:space="preserve">Pfeifente (Anas penelope L.)</w:t>
      </w:r>
    </w:p>
    <w:p>
      <w:r>
        <w:t xml:space="preserve">Krickente (Anas crecca L.)</w:t>
      </w:r>
    </w:p>
    <w:p>
      <w:r>
        <w:t xml:space="preserve">Spießente (Anas acuta L.)</w:t>
      </w:r>
    </w:p>
    <w:p>
      <w:r>
        <w:t xml:space="preserve">Tafelente (Aythya ferina L.)</w:t>
      </w:r>
    </w:p>
    <w:p>
      <w:r>
        <w:t xml:space="preserve">Blässhuhn (Fulica atra L.)</w:t>
      </w:r>
    </w:p>
    <w:p>
      <w:r>
        <w:rPr>
          <w:color w:val="555555"/>
          <w:sz w:val="17"/>
        </w:rPr>
        <w:t xml:space="preserve">Zitiervorschlag: Anlage 2 BWildSchV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https://recht.nulegal.eu/gesetze/BWildSchV/anlage-2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BWildSchV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