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5a BWildSchV — Strafvorschriften</w:t>
      </w:r>
    </w:p>
    <w:p>
      <w:r>
        <w:rPr>
          <w:color w:val="555555"/>
          <w:sz w:val="18"/>
        </w:rPr>
        <w:t xml:space="preserve">Bundeswildschutzverordnung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Nach § 38a Absatz 1 des Bundesjagdgesetzes wird bestraft, wer entgegen § 2 Absatz 1 Satz 1 Nummer 2 ein dort genanntes Tier oder ein Teil oder ein Erzeugnis eines solchen Tieres gewerbsmäßig ankauft, verkauft oder tauscht.</w:t>
      </w:r>
    </w:p>
    <w:p>
      <w:r>
        <w:t xml:space="preserve">(2) Nach § 38a Absatz 2 des Bundesjagdgesetzes wird bestraft, wer entgegen § 2 Absatz 1 Satz 1 Nummer 1 ein dort genanntes Tier oder ein Teil oder ein Erzeugnis eines solchen Tieres besitzt.</w:t>
      </w:r>
    </w:p>
    <w:p>
      <w:r>
        <w:rPr>
          <w:color w:val="555555"/>
          <w:sz w:val="17"/>
        </w:rPr>
        <w:t xml:space="preserve">Zitiervorschlag: § 5a BWildSchV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https://recht.nulegal.eu/gesetze/BWildSchV/5a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