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BWildSchV — Rechtmäßiger Besitz, Nachweispflicht</w:t>
      </w:r>
    </w:p>
    <w:p>
      <w:r>
        <w:rPr>
          <w:color w:val="555555"/>
          <w:sz w:val="18"/>
        </w:rPr>
        <w:t xml:space="preserve">Bundeswildschutzverordnung</w:t>
      </w:r>
    </w:p>
    <w:p>
      <w:r>
        <w:rPr>
          <w:color w:val="555555"/>
          <w:sz w:val="18"/>
        </w:rPr>
        <w:t xml:space="preserve">Stand: 10.06.2019 (konsolidierte Textfassung, kein amtliches Inkrafttretensdatum)</w:t>
      </w:r>
    </w:p>
    <w:p>
      <w:r>
        <w:t xml:space="preserve">Wer Tiere der in Anlage 5 genannten Arten besitzt oder die tatsächliche Gewalt darüber ausübt, kann sich gegenüber der zuständigen Behörde auf eine Berechtigung hierzu nur berufen, wenn er auf Verlangen nachweist, daß die Voraussetzungen für eine Ausnahme nach § 2 Abs. 2 bis 5 vorliegen oder glaubhaft macht, daß er oder ein Dritter die Tiere bei Inkrafttreten dieser Verordnung in Besitz hatte. Für Gegenstände zum persönlichen Gebrauch oder Hausrat gilt dies nur, wenn Tatsachen die Annahme rechtfertigen, daß eine Berechtigung nach § 2 Abs. 2 bis 5 nicht besteht.</w:t>
      </w:r>
    </w:p>
    <w:p>
      <w:r>
        <w:rPr>
          <w:color w:val="555555"/>
          <w:sz w:val="17"/>
        </w:rPr>
        <w:t xml:space="preserve">Zitiervorschlag: § 5 BWildSchV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https://recht.nulegal.eu/gesetze/BWildSchV/5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