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BWildSchV — Aufzeichnungs- und Kennzeichnungspflichten</w:t>
      </w:r>
    </w:p>
    <w:p>
      <w:r>
        <w:rPr>
          <w:color w:val="555555"/>
          <w:sz w:val="18"/>
        </w:rPr>
        <w:t xml:space="preserve">Bundeswildschutzverordnung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gewerbsmäßig</w:t>
      </w:r>
    </w:p>
    <w:p>
      <w:pPr>
        <w:ind w:left="420"/>
      </w:pPr>
      <w:r>
        <w:t xml:space="preserve">1. tote Tiere der in Anlage 5 genannten Arten oder Teile dieser Tiere präpariert oder</w:t>
      </w:r>
    </w:p>
    <w:p>
      <w:pPr>
        <w:ind w:left="420"/>
      </w:pPr>
      <w:r>
        <w:t xml:space="preserve">2. lebende oder tote Tiere der in Anlage 5 genannten Arten oder Teile dieser Tiere in den Verkehr bringt oder erwirbt,</w:t>
      </w:r>
    </w:p>
    <w:p>
      <w:r>
        <w:t xml:space="preserve">hat über diese Tiere ein Aufnahme- und Auslieferungsbuch mit täglicher Eintragung nach dem Muster der Anlage 6 zu führen. Werden Tiere nach Nummer 2 im Einzelhandel abgegeben, brauchen Name und Anschrift des Empfängers sowie der Abgangstag nur bei den Tieren angegeben zu werden, deren Verkaufspreis über 250 Deutsche Mark beträgt.</w:t>
      </w:r>
    </w:p>
    <w:p>
      <w:r>
        <w:t xml:space="preserve">(2) Alle Eintragungen in das Buch sind in dauerhafter Form vorzunehmen; § 43 Abs. 2 bis 4 Satz 1 und 2 des Handelsgesetzbuchs gilt sinngemäß.</w:t>
      </w:r>
    </w:p>
    <w:p>
      <w:r>
        <w:t xml:space="preserve">(3) Die Bücher mit den Belegen sind der nach Landesrecht zuständigen Stelle auf Verlangen zur Prüfung auszuhändigen.</w:t>
      </w:r>
    </w:p>
    <w:p>
      <w:r>
        <w:t xml:space="preserve">(4) Die Bücher mit den Belegen sind fünf Jahre aufzubewahren. Die Aufbewahrungsfrist beginnt mit dem Schluß des Kalenderjahrs, in dem die letzte Eintragung für ein abgeschlossenes Geschäftsjahr gemacht worden ist.</w:t>
      </w:r>
    </w:p>
    <w:p>
      <w:r>
        <w:t xml:space="preserve">(5) Die in Absatz 1 genannten Tiere und Teile von Tieren sind zu kennzeichnen, soweit dies mit angemessenem Aufwand möglich ist.</w:t>
      </w:r>
    </w:p>
    <w:p>
      <w:r>
        <w:rPr>
          <w:color w:val="555555"/>
          <w:sz w:val="17"/>
        </w:rPr>
        <w:t xml:space="preserve">Zitiervorschlag: § 4 BWildSchV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https://recht.nulegal.eu/gesetze/BWildSchV/4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