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BWildSchV — Anwendungsbereich, Begriffsbestimmungen</w:t>
      </w:r>
    </w:p>
    <w:p>
      <w:r>
        <w:rPr>
          <w:color w:val="555555"/>
          <w:sz w:val="18"/>
        </w:rPr>
        <w:t xml:space="preserve">Bundeswildschutzverordnung</w:t>
      </w:r>
    </w:p>
    <w:p>
      <w:r>
        <w:rPr>
          <w:color w:val="555555"/>
          <w:sz w:val="18"/>
        </w:rPr>
        <w:t xml:space="preserve">Stand: 10.06.2019 (konsolidierte Textfassung, kein amtliches Inkrafttretensdatum)</w:t>
      </w:r>
    </w:p>
    <w:p>
      <w:r>
        <w:t xml:space="preserve">(1) Diese Verordnung findet Anwendung auf Tiere der in den Anlagen 1 und 4 genannten Arten. Für die Abgrenzung der Tierarten im Sinne dieser Verordnung ist ihre wissenschaftliche Bezeichnung maßgebend. Die Art schließt Unterarten ein, auch soweit diese im Geltungsbereich des Bundeswaldgesetzes in der Natur nicht vorkommen.</w:t>
      </w:r>
    </w:p>
    <w:p>
      <w:r>
        <w:t xml:space="preserve">(2) Der Begriff Tiere im Sinne dieser Verordnung umfaßt lebende und tote Tiere, ihre ohne weiteres erkennbaren Teile, ohne weiteres erkennbar aus ihnen gewonnenen Erzeugnisse sowie ihre Eier, sonstigen Entwicklungsformen und Nester.</w:t>
      </w:r>
    </w:p>
    <w:p>
      <w:r>
        <w:rPr>
          <w:color w:val="555555"/>
          <w:sz w:val="17"/>
        </w:rPr>
        <w:t xml:space="preserve">Zitiervorschlag: § 1 BWildSchV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https://recht.nulegal.eu/gesetze/BWildSchV/1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