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BWaldInvV 4 — (zu § 2 Satz 2)Verdichtung der Bundeswaldinventur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02.10.2019 bis 01.01.2025. Dies ist nicht die aktuelle Fassung.</w:t>
      </w:r>
    </w:p>
    <w:p>
      <w:r>
        <w:t xml:space="preserve">(Fundstelle: BGBl. I 2019, 891)</w:t>
      </w:r>
    </w:p>
    <w:p>
      <w:r>
        <w:t xml:space="preserve">Das Stichprobengrundnetz im 4 x 4 km-Quadratverband ist wie folgt zu verdichten:</w:t>
      </w:r>
    </w:p>
    <w:p>
      <w:r>
        <w:t xml:space="preserve">Auf einen 2,83 x 2,83 km-Quadratverband in</w:t>
      </w:r>
    </w:p>
    <w:p>
      <w:pPr>
        <w:ind w:left="420"/>
      </w:pPr>
      <w:r>
        <w:t xml:space="preserve">– Bayern im Bereich der Regierungsbezirke Schwaben und Mittelfranken,</w:t>
      </w:r>
    </w:p>
    <w:p>
      <w:pPr>
        <w:ind w:left="420"/>
      </w:pPr>
      <w:r>
        <w:t xml:space="preserve">– Niedersachsen in den Wuchsgebieten Niedersächsischer Küstenraum und Mittel-Westniedersächsisches Tiefland,</w:t>
      </w:r>
    </w:p>
    <w:p>
      <w:pPr>
        <w:ind w:left="420"/>
      </w:pPr>
      <w:r>
        <w:t xml:space="preserve">– Thüringen.</w:t>
      </w:r>
    </w:p>
    <w:p>
      <w:r>
        <w:t xml:space="preserve">Auf einen 2 x 2 km-Quadratverband in</w:t>
      </w:r>
    </w:p>
    <w:p>
      <w:pPr>
        <w:ind w:left="420"/>
      </w:pPr>
      <w:r>
        <w:t xml:space="preserve">– Baden-Württemberg,</w:t>
      </w:r>
    </w:p>
    <w:p>
      <w:pPr>
        <w:ind w:left="420"/>
      </w:pPr>
      <w:r>
        <w:t xml:space="preserve">– Berlin,</w:t>
      </w:r>
    </w:p>
    <w:p>
      <w:pPr>
        <w:ind w:left="420"/>
      </w:pPr>
      <w:r>
        <w:t xml:space="preserve">– Brandenburg,</w:t>
      </w:r>
    </w:p>
    <w:p>
      <w:pPr>
        <w:ind w:left="420"/>
      </w:pPr>
      <w:r>
        <w:t xml:space="preserve">– Mecklenburg-Vorpommern,</w:t>
      </w:r>
    </w:p>
    <w:p>
      <w:pPr>
        <w:ind w:left="420"/>
      </w:pPr>
      <w:r>
        <w:t xml:space="preserve">– Nordrhein-Westfalen,</w:t>
      </w:r>
    </w:p>
    <w:p>
      <w:pPr>
        <w:ind w:left="420"/>
      </w:pPr>
      <w:r>
        <w:t xml:space="preserve">– Rheinland-Pfalz,</w:t>
      </w:r>
    </w:p>
    <w:p>
      <w:pPr>
        <w:ind w:left="420"/>
      </w:pPr>
      <w:r>
        <w:t xml:space="preserve">– Saarland,</w:t>
      </w:r>
    </w:p>
    <w:p>
      <w:pPr>
        <w:ind w:left="420"/>
      </w:pPr>
      <w:r>
        <w:t xml:space="preserve">– Sachsen,</w:t>
      </w:r>
    </w:p>
    <w:p>
      <w:pPr>
        <w:ind w:left="420"/>
      </w:pPr>
      <w:r>
        <w:t xml:space="preserve">– Sachsen-Anhalt,</w:t>
      </w:r>
    </w:p>
    <w:p>
      <w:pPr>
        <w:ind w:left="420"/>
      </w:pPr>
      <w:r>
        <w:t xml:space="preserve">– Schleswig-Holstein.</w:t>
      </w:r>
    </w:p>
    <w:p>
      <w:r>
        <w:t xml:space="preserve">Sowohl der 2,83 x 2,83 km-Quadratverband wie auch der 2 x 2 km-Quadratverband sind nach der folgenden Abbildung in das 4 x 4 km-Grundnetz einzupassen: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