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BWaldInvV 4 — Grunddaten</w:t>
      </w:r>
    </w:p>
    <w:p>
      <w:r>
        <w:rPr>
          <w:color w:val="555555"/>
          <w:sz w:val="18"/>
        </w:rPr>
        <w:t xml:space="preserve">Vierte Bundeswaldinventur-Verordnung</w:t>
      </w:r>
    </w:p>
    <w:p>
      <w:r>
        <w:rPr>
          <w:color w:val="555555"/>
          <w:sz w:val="18"/>
        </w:rPr>
        <w:t xml:space="preserve">Historische Fassung: Stand 02.10.2019 bis 01.01.2025. Dies ist nicht die aktuelle Fassung.</w:t>
      </w:r>
    </w:p>
    <w:p>
      <w:r>
        <w:t xml:space="preserve">An den Stichprobenpunkten werden nachstehende Grunddaten gemessen oder beschrieben:</w:t>
      </w:r>
    </w:p>
    <w:p>
      <w:pPr>
        <w:ind w:left="420"/>
      </w:pPr>
      <w:r>
        <w:t xml:space="preserve">1. Betriebsart,</w:t>
      </w:r>
    </w:p>
    <w:p>
      <w:pPr>
        <w:ind w:left="420"/>
      </w:pPr>
      <w:r>
        <w:t xml:space="preserve">2. Eigentumsart,</w:t>
      </w:r>
    </w:p>
    <w:p>
      <w:pPr>
        <w:ind w:left="420"/>
      </w:pPr>
      <w:r>
        <w:t xml:space="preserve">3. Waldstruktur,</w:t>
      </w:r>
    </w:p>
    <w:p>
      <w:pPr>
        <w:ind w:left="420"/>
      </w:pPr>
      <w:r>
        <w:t xml:space="preserve">4. Baumarten,</w:t>
      </w:r>
    </w:p>
    <w:p>
      <w:pPr>
        <w:ind w:left="420"/>
      </w:pPr>
      <w:r>
        <w:t xml:space="preserve">5. Alter,</w:t>
      </w:r>
    </w:p>
    <w:p>
      <w:pPr>
        <w:ind w:left="420"/>
      </w:pPr>
      <w:r>
        <w:t xml:space="preserve">6. Baumdurchmesser,</w:t>
      </w:r>
    </w:p>
    <w:p>
      <w:pPr>
        <w:ind w:left="420"/>
      </w:pPr>
      <w:r>
        <w:t xml:space="preserve">7. Baumhöhe an ausgewählten Probebäumen,</w:t>
      </w:r>
    </w:p>
    <w:p>
      <w:pPr>
        <w:ind w:left="420"/>
      </w:pPr>
      <w:r>
        <w:t xml:space="preserve">8. Geländemerkmale,</w:t>
      </w:r>
    </w:p>
    <w:p>
      <w:pPr>
        <w:ind w:left="420"/>
      </w:pPr>
      <w:r>
        <w:t xml:space="preserve">9. besondere Baummerkmale,</w:t>
      </w:r>
    </w:p>
    <w:p>
      <w:pPr>
        <w:ind w:left="420"/>
      </w:pPr>
      <w:r>
        <w:t xml:space="preserve">10. Totholz,</w:t>
      </w:r>
    </w:p>
    <w:p>
      <w:pPr>
        <w:ind w:left="420"/>
      </w:pPr>
      <w:r>
        <w:t xml:space="preserve">11. Landnutzung vor oder nach Wald.</w:t>
      </w:r>
    </w:p>
    <w:p>
      <w:r>
        <w:rPr>
          <w:color w:val="555555"/>
          <w:sz w:val="17"/>
        </w:rPr>
        <w:t xml:space="preserve">Zitiervorschlag: § 3 BWaldInvV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https://recht.nulegal.eu/gesetze/BWaldInvV%204/3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