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BWaldInvV 4 — Stichprobenverfahren</w:t>
      </w:r>
    </w:p>
    <w:p>
      <w:r>
        <w:rPr>
          <w:color w:val="555555"/>
          <w:sz w:val="18"/>
        </w:rPr>
        <w:t xml:space="preserve">Vierte Bundeswaldinventur-Verordnung</w:t>
      </w:r>
    </w:p>
    <w:p>
      <w:r>
        <w:rPr>
          <w:color w:val="555555"/>
          <w:sz w:val="18"/>
        </w:rPr>
        <w:t xml:space="preserve">Historische Fassung: Stand 02.10.2019 bis 01.01.2025. Dies ist nicht die aktuelle Fassung.</w:t>
      </w:r>
    </w:p>
    <w:p>
      <w:r>
        <w:t xml:space="preserve">Die Bundeswaldinventur ist nach einem einheitlichen terrestrischen Stichprobenverfahren mit gleichmäßig systematischer Stichprobenverteilung über das gesamte Gebiet der Bundesrepublik Deutschland in dem nach § 2 Satz 1 der Zweiten Bundeswaldinventur-Verordnung vom 28. Mai 1998 (BGBl. I S. 1180) eingerichteten 4 x 4 km-Quadratverband durchzuführen. Verdichtungen sind nach Maßgabe der Anlage vorzunehmen.</w:t>
      </w:r>
    </w:p>
    <w:p>
      <w:r>
        <w:rPr>
          <w:color w:val="555555"/>
          <w:sz w:val="17"/>
        </w:rPr>
        <w:t xml:space="preserve">Zitiervorschlag: § 2 BWaldInvV 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https://recht.nulegal.eu/gesetze/BWaldInvV%204/2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