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BWaldInvV 4 — Zeitpunkt</w:t>
      </w:r>
    </w:p>
    <w:p>
      <w:r>
        <w:rPr>
          <w:color w:val="555555"/>
          <w:sz w:val="18"/>
        </w:rPr>
        <w:t xml:space="preserve">Vierte Bundeswaldinventur-Verordnung</w:t>
      </w:r>
    </w:p>
    <w:p>
      <w:r>
        <w:rPr>
          <w:color w:val="555555"/>
          <w:sz w:val="18"/>
        </w:rPr>
        <w:t xml:space="preserve">Historische Fassung: Stand 15.03.2023 bis 01.01.2025. Dies ist nicht die aktuelle Fassung.</w:t>
      </w:r>
    </w:p>
    <w:p>
      <w:r>
        <w:t xml:space="preserve">In der Zeit vom 1. April 2021 bis zum Ablauf des 31. Dezember 2024 wird eine Bundeswaldinventur durchgeführt. Stichtag für die Auswertung der Daten ist der 1. Oktober 2022.</w:t>
      </w:r>
    </w:p>
    <w:p>
      <w:r>
        <w:rPr>
          <w:color w:val="555555"/>
          <w:sz w:val="17"/>
        </w:rPr>
        <w:t xml:space="preserve">Zitiervorschlag: § 1 BWaldInvV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https://recht.nulegal.eu/gesetze/BWaldInvV%204/1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