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BWaldG — Erhaltung des Waldes</w:t>
      </w:r>
    </w:p>
    <w:p>
      <w:r>
        <w:rPr>
          <w:color w:val="555555"/>
          <w:sz w:val="18"/>
        </w:rPr>
        <w:t xml:space="preserve">Bundeswaldgesetz</w:t>
      </w:r>
    </w:p>
    <w:p>
      <w:r>
        <w:rPr>
          <w:color w:val="555555"/>
          <w:sz w:val="18"/>
        </w:rPr>
        <w:t xml:space="preserve">Stand: 10.06.2019 (konsolidierte Textfassung, kein amtliches Inkrafttretensdatum)</w:t>
      </w:r>
    </w:p>
    <w:p>
      <w:r>
        <w:t xml:space="preserve">(1) Wald darf nur mit Genehmigung der nach Landesrecht zuständigen Behörde gerodet und in eine andere Nutzungsart umgewandelt werden (Umwandlung). Bei der Entscheidung über einen Umwandlungsantrag sind die Rechte, Pflichten und wirtschaftlichen Interessen des Waldbesitzers sowie die Belange der Allgemeinheit gegeneinander und untereinander abzuwägen. Die Genehmigung soll versagt werden, wenn die Erhaltung des Waldes überwiegend im öffentlichen Interesse liegt, insbesondere wenn der Wald für die Leistungsfähigkeit des Naturhaushalts, die forstwirtschaftliche Erzeugung oder die Erholung der Bevölkerung von wesentlicher Bedeutung ist.</w:t>
      </w:r>
    </w:p>
    <w:p>
      <w:r>
        <w:t xml:space="preserve">(2) Eine Umwandlung von Wald kann auch für einen bestimmten Zeitraum genehmigt werden; durch Auflagen ist dabei sicherzustellen, daß das Grundstück innerhalb einer angemessenen Frist ordnungsgemäß wieder aufgeforstet wird.</w:t>
      </w:r>
    </w:p>
    <w:p>
      <w:r>
        <w:t xml:space="preserve">(3) Die Länder können bestimmen, daß die Umwandlung</w:t>
      </w:r>
    </w:p>
    <w:p>
      <w:pPr>
        <w:ind w:left="420"/>
      </w:pPr>
      <w:r>
        <w:t xml:space="preserve">1. keiner Genehmigung nach Absatz 1 bedarf, wenn für die Waldfläche auf Grund anderer öffentlich-rechtlicher Vorschriften rechtsverbindlich eine andere Nutzungsart festgestellt worden ist;</w:t>
      </w:r>
    </w:p>
    <w:p>
      <w:pPr>
        <w:ind w:left="420"/>
      </w:pPr>
      <w:r>
        <w:t xml:space="preserve">2. weiteren Einschränkungen unterworfen oder, insbesondere bei Schutz- und Erholungswald, untersagt wird.</w:t>
      </w:r>
    </w:p>
    <w:p>
      <w:r>
        <w:rPr>
          <w:color w:val="555555"/>
          <w:sz w:val="17"/>
        </w:rPr>
        <w:t xml:space="preserve">Zitiervorschlag: § 9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