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BWaldG — Vorschriften für die Landesgesetzgebung</w:t>
      </w:r>
    </w:p>
    <w:p>
      <w:r>
        <w:rPr>
          <w:color w:val="555555"/>
          <w:sz w:val="18"/>
        </w:rPr>
        <w:t xml:space="preserve">Bundeswaldgesetz</w:t>
      </w:r>
    </w:p>
    <w:p>
      <w:r>
        <w:rPr>
          <w:color w:val="555555"/>
          <w:sz w:val="18"/>
        </w:rPr>
        <w:t xml:space="preserve">Stand: 10.06.2019 (konsolidierte Textfassung, kein amtliches Inkrafttretensdatum)</w:t>
      </w:r>
    </w:p>
    <w:p>
      <w:r>
        <w:t xml:space="preserve">Die Vorschriften dieses Kapitels sind Rahmenvorschriften für die Landesgesetzgebung. Die Länder sollen innerhalb von zwei Jahren nach dem Inkrafttreten dieses Gesetzes den Bestimmungen dieses Kapitels entsprechende Vorschriften einschließlich geeigneter Entschädigungsregelungen erlassen oder bestehende Vorschriften anpassen.</w:t>
      </w:r>
    </w:p>
    <w:p>
      <w:r>
        <w:rPr>
          <w:color w:val="555555"/>
          <w:sz w:val="17"/>
        </w:rPr>
        <w:t xml:space="preserve">Zitiervorschlag: § 5 BWaldG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https://recht.nulegal.eu/gesetze/BWaldG/5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