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BWaldG — Inkrafttreten, Aufhebung von Vorschriften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Gleichzeitig treten folgende Vorschriften außer Kraft:</w:t>
      </w:r>
    </w:p>
    <w:p>
      <w:pPr>
        <w:ind w:left="420"/>
      </w:pPr>
      <w:r>
        <w:t xml:space="preserve">1. das Gesetz über forstwirtschaftliche Zusammenschlüsse vom 1. September 1969 (Bundesgesetzblatt I S. 1543), zuletzt geändert durch das Einführungsgesetz zum Strafgesetzbuch vom 2. März 1974 (Bundesgesetzbl. I S. 469);</w:t>
      </w:r>
    </w:p>
    <w:p>
      <w:pPr>
        <w:ind w:left="420"/>
      </w:pPr>
      <w:r>
        <w:t xml:space="preserve">2. die Verordnung zur Förderung der Forst- und der Weidewirtschaft vom 7. Februar 1924 (Reichsgesetzbl. I S. 50);</w:t>
      </w:r>
    </w:p>
    <w:p>
      <w:pPr>
        <w:ind w:left="420"/>
      </w:pPr>
      <w:r>
        <w:t xml:space="preserve">3. das Gesetz gegen Waldverwüstung vom 18. Januar 1934 (Reichsgesetzbl. I S. 37), geändert durch das Einführungsgesetz zum Gesetz über Ordnungswidrigkeiten vom 24. Mai 1968 (Bundesgesetzbl. I S. 503);</w:t>
      </w:r>
    </w:p>
    <w:p>
      <w:pPr>
        <w:ind w:left="420"/>
      </w:pPr>
      <w:r>
        <w:t xml:space="preserve">4. die Verordnung zur Verhütung und Bekämpfung von Waldbränden in den nicht im Eigentum des Reichs oder der Länder stehenden Waldungen vom 18. Juni 1937 (Reichsgesetzbl. I S. 721);</w:t>
      </w:r>
    </w:p>
    <w:p>
      <w:pPr>
        <w:ind w:left="420"/>
      </w:pPr>
      <w:r>
        <w:t xml:space="preserve">5. die Verordnung zur Förderung der Nutzholzgewinnung vom 30. Juli 1937 (Reichsgesetzbl. I S. 876).</w:t>
      </w:r>
    </w:p>
    <w:p>
      <w:r>
        <w:rPr>
          <w:color w:val="555555"/>
          <w:sz w:val="17"/>
        </w:rPr>
        <w:t xml:space="preserve">Zitiervorschlag: § 48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