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BWaldG — Förderung</w:t>
      </w:r>
    </w:p>
    <w:p>
      <w:r>
        <w:rPr>
          <w:color w:val="555555"/>
          <w:sz w:val="18"/>
        </w:rPr>
        <w:t xml:space="preserve">Bundeswaldgesetz</w:t>
      </w:r>
    </w:p>
    <w:p>
      <w:r>
        <w:rPr>
          <w:color w:val="555555"/>
          <w:sz w:val="18"/>
        </w:rPr>
        <w:t xml:space="preserve">Stand: 10.06.2019 (konsolidierte Textfassung, kein amtliches Inkrafttretensdatum)</w:t>
      </w:r>
    </w:p>
    <w:p>
      <w:r>
        <w:t xml:space="preserve">(1) Die Forstwirtschaft soll wegen der Nutz-, Schutz- und Erholungsfunktionen des Waldes nach § 1 öffentlich gefördert werden.</w:t>
      </w:r>
    </w:p>
    <w:p>
      <w:r>
        <w:t xml:space="preserve">(2) Die Förderung soll insbesondere auf die Sicherung der allgemeinen Bedingungen für die Wirtschaftlichkeit von Investitionen zur Erhaltung und nachhaltigen Bewirtschaftung des Waldes gerichtet sein. Zu diesem Zweck ist die Forstwirtschaft unter Berücksichtigung ihrer naturbedingten und wirtschaftlichen Besonderheiten vor allem mit den Mitteln der Wirtschafts-, Verkehrs-, Agrar-, Sozial- und Steuerpolitik in den Stand zu setzen, den Wald unter wirtschaftlich angemessenen Bedingungen zu nutzen und zu erhalten.</w:t>
      </w:r>
    </w:p>
    <w:p>
      <w:r>
        <w:t xml:space="preserve">(3) Die Bundesregierung berichtet dem Deutschen Bundestag in dem Bericht nach § 4 des landwirtschaftsgesetzes vom 5. September 1955 (Bundesgesetzbl. I S. 565) auf Grund der Wirtschaftsergebnisse der Staatsforstverwaltungen und der Forstbetriebsstatistik über die Lage und Entwicklung der Forstwirtschaft und der Struktur der Holzwirtschaft des Bundesgebiets sowie über die zur Förderung der Forstwirtschaft erforderlichen Maßnahmen. Dieser Bericht erstreckt sich auch auf die Belastungen aus der Schutz- und Erholungsfunktion.</w:t>
      </w:r>
    </w:p>
    <w:p>
      <w:r>
        <w:t xml:space="preserve">(4) Der Bund beteiligt sich an der finanziellen Förderung der Forstwirtschaft nach dem Gesetz über die Gemeinschaftsaufgabe "Verbesserung der Agrarstruktur und des Küstenschutzes" vom 3. September 1969 (Bundesgesetzbl. I S. 1573), geändert durch das Gesetz zur Änderung der Gesetze über die Gemeinschaftsaufgaben vom 23. Dezember 1971 (Bundesgesetzbl. I S. 2140).</w:t>
      </w:r>
    </w:p>
    <w:p>
      <w:r>
        <w:t xml:space="preserve">(5) Staatliche Zuwendungen auf Grund des in Absatz 4 genannten Gesetzes können erhalten:</w:t>
      </w:r>
    </w:p>
    <w:p>
      <w:pPr>
        <w:ind w:left="420"/>
      </w:pPr>
      <w:r>
        <w:t xml:space="preserve">1. forstwirtschaftliche Zusammenschlüsse im Sinne dieses Gesetzes und nach § 39 gleichgestellte sonstige Zusammenschlüsse in der Forstwirtschaft sowie die nach Landesrecht gebildeten öffentlich-rechtlichen Waldwirtschaftsgenossenschaften und ähnliche Zusammenschlüsse einschließlich der Gemeinschaftsforsten, sofern ihre Aufgabe sich auf die Verbesserung der forstwirtschaftlichen Erzeugung oder die Förderung des Absatzes von Forsterzeugnissen erstreckt und sie einen wesentlichen Wettbewerb auf dem Holzmarkt bestehen lassen;</w:t>
      </w:r>
    </w:p>
    <w:p>
      <w:pPr>
        <w:ind w:left="420"/>
      </w:pPr>
      <w:r>
        <w:t xml:space="preserve">2. Inhaber land- oder forstwirtschaftlicher Betriebe oder Grundbesitzer, soweit ihre forstlichen Vorhaben nicht über forstwirtschaftliche Zusammenschlüsse gefördert werden.</w:t>
      </w:r>
    </w:p>
    <w:p>
      <w:r>
        <w:rPr>
          <w:color w:val="555555"/>
          <w:sz w:val="17"/>
        </w:rPr>
        <w:t xml:space="preserve">Zitiervorschlag: § 41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