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BWaldG — Befreiung von Vorschriften des Gesetzes gegen Wettbewerbsbeschränkungen</w:t>
      </w:r>
    </w:p>
    <w:p>
      <w:r>
        <w:rPr>
          <w:color w:val="555555"/>
          <w:sz w:val="18"/>
        </w:rPr>
        <w:t xml:space="preserve">Bundeswaldgesetz</w:t>
      </w:r>
    </w:p>
    <w:p>
      <w:r>
        <w:rPr>
          <w:color w:val="555555"/>
          <w:sz w:val="18"/>
        </w:rPr>
        <w:t xml:space="preserve">Stand: 10.06.2019 (konsolidierte Textfassung, kein amtliches Inkrafttretensdatum)</w:t>
      </w:r>
    </w:p>
    <w:p>
      <w:r>
        <w:t xml:space="preserve">(1) § 1 des Gesetzes gegen Wettbewerbsbeschränkungen findet keine Anwendung auf Beschlüsse von Vereinigungen forstwirtschaftlicher Erzeugerbetriebe, von anerkannten Forstbetriebsgemeinschaften, von Forstbetriebsverbänden und von forstwirtschaftlichen Vereinigungen, soweit sie die forstwirtschaftliche Erzeugung und den Absatz von Forsterzeugnissen betreffen. Das gleiche gilt für die nach Landesrecht gebildeten öffentlich-rechtlichen Waldwirtschaftsgenossenschaften und ähnliche Zusammenschlüsse in der Forstwirtschaft, sofern sie einen wesentlichen Wettbewerb auf dem Holzmarkt bestehen lassen.</w:t>
      </w:r>
    </w:p>
    <w:p>
      <w:r>
        <w:t xml:space="preserve">(2) Eine anerkannte Forstwirtschaftliche Vereinigung im Sinne dieses Gesetzes darf ihre Mitglieder bei der Preisbildung beraten und zu diesem Zweck gegenüber ihren Mitgliedern Preisempfehlungen aussprechen.</w:t>
      </w:r>
    </w:p>
    <w:p>
      <w:r>
        <w:t xml:space="preserve">(3) Vorbehaltlich der Absätze 1 und 2 und des § 46 bleiben die Vorschriften des Gesetzes gegen Wettbewerbsbeschränkungen im Übrigen unberührt.</w:t>
      </w:r>
    </w:p>
    <w:p>
      <w:r>
        <w:t xml:space="preserve">(4) Als Vereinigungen forstwirtschaftlicher Erzeugerbetriebe sind Waldwirtschaftsgemeinschaften, Waldwirtschaftsgenossenschaften, Forstverbände, Eigentumsgenossenschaften und ähnliche Vereinigungen anzusehen, deren Wirkungskreis nicht wesentlich über das Gebiet einer Gemarkung oder einer Gemeinde hinausgeht und die zur gemeinschaftlichen Durchführung forstbetrieblicher Maßnahmen gebildet werden oder gebildet worden sind.</w:t>
      </w:r>
    </w:p>
    <w:p>
      <w:r>
        <w:rPr>
          <w:color w:val="555555"/>
          <w:sz w:val="17"/>
        </w:rPr>
        <w:t xml:space="preserve">Zitiervorschlag: § 40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