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BWaldG — Sonstige Zusammenschlüsse in der Forstwirtschaft</w:t>
      </w:r>
    </w:p>
    <w:p>
      <w:r>
        <w:rPr>
          <w:color w:val="555555"/>
          <w:sz w:val="18"/>
        </w:rPr>
        <w:t xml:space="preserve">Bundeswaldgesetz</w:t>
      </w:r>
    </w:p>
    <w:p>
      <w:r>
        <w:rPr>
          <w:color w:val="555555"/>
          <w:sz w:val="18"/>
        </w:rPr>
        <w:t xml:space="preserve">Stand: 10.06.2019 (konsolidierte Textfassung, kein amtliches Inkrafttretensdatum)</w:t>
      </w:r>
    </w:p>
    <w:p>
      <w:r>
        <w:t xml:space="preserve">(1) Die nach der Verordnung über die Bildung wirtschaftlicher Zusammenschlüsse in der Forstwirtschaft vom 7. Mai 1943 (Reichsgesetzbl. I S. 298) gebildeten Forstverbände stehen den Forstbetriebsverbänden gleich, soweit deren Zweck sich nicht ganz oder überwiegend auf die Einstellung von Personal beschränkt.</w:t>
      </w:r>
    </w:p>
    <w:p>
      <w:r>
        <w:t xml:space="preserve">(2) Sofern die in Absatz 1 genannten Forstbetriebsverbände ihre Satzung nicht den Vorschriften des Gesetzes über forstwirtschaftliche Zusammenschlüsse vom 1. September 1969 (Bundesgesetzbl. I S. 1543), zuletzt geändert durch das Einführungsgesetz zum Strafgesetzbuch vom 2. März 1974 (Bundesgesetzbl. I S. 469), fristgerecht angepaßt haben, kann die nach Landesrecht zuständige Behörde eine mit § 25 in Einklang stehende Satzung erlassen.</w:t>
      </w:r>
    </w:p>
    <w:p>
      <w:r>
        <w:t xml:space="preserve">(3) Die nach Landesrecht bisher anerkannten forstwirtschaftlichen Zusammenschlüsse des privaten Rechts stehen den anerkannten Forstbetriebsgemeinschaften gleich, bis sie nach § 18 ausdrücklich anerkannt sind, längstens jedoch vier Jahre nach Inkrafttreten dieses Gesetzes. Das gleiche gilt für nicht förmlich anerkannte Zusammenschlüsse des privaten Rechts und für Grundbesitzer, die mit einer Forstbehörde Verträge über gemeinschaftliche Betreuung abgeschlossen haben, wenn die nach Landesrecht zuständige Behörde feststellt, daß diese bisher mindestens die Voraussetzungen des § 17 und des § 18 Abs. 1 Nr. 2, 6 und 7 erfüllt haben und förderungswürdig sind.</w:t>
      </w:r>
    </w:p>
    <w:p>
      <w:r>
        <w:t xml:space="preserve">(4) Im übrigen bleiben die landesrechtlichen Vorschriften über Zusammenschlüsse in der Forstwirtschaft unberührt.</w:t>
      </w:r>
    </w:p>
    <w:p>
      <w:r>
        <w:rPr>
          <w:color w:val="555555"/>
          <w:sz w:val="17"/>
        </w:rPr>
        <w:t xml:space="preserve">Zitiervorschlag: § 39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